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EAE3C" w14:textId="77777777" w:rsidR="00914EB0" w:rsidRDefault="00914EB0" w:rsidP="00914EB0">
      <w:pPr>
        <w:jc w:val="center"/>
        <w:rPr>
          <w:b/>
          <w:sz w:val="28"/>
        </w:rPr>
      </w:pPr>
      <w:r w:rsidRPr="00ED2333">
        <w:rPr>
          <w:b/>
          <w:sz w:val="28"/>
        </w:rPr>
        <w:t xml:space="preserve">Manganese oxide-based electrocatalysts for oxygen evolution reaction and electrochemical reforming of </w:t>
      </w:r>
      <w:r>
        <w:rPr>
          <w:b/>
          <w:sz w:val="28"/>
        </w:rPr>
        <w:t>methanol</w:t>
      </w:r>
      <w:r w:rsidRPr="00ED2333">
        <w:rPr>
          <w:b/>
          <w:sz w:val="28"/>
        </w:rPr>
        <w:t xml:space="preserve"> in acidic media</w:t>
      </w:r>
    </w:p>
    <w:p w14:paraId="57CF3439" w14:textId="77777777" w:rsidR="00914EB0" w:rsidRPr="00A86EB9" w:rsidRDefault="00914EB0" w:rsidP="00914EB0">
      <w:pPr>
        <w:jc w:val="center"/>
        <w:rPr>
          <w:b/>
          <w:sz w:val="28"/>
        </w:rPr>
      </w:pPr>
    </w:p>
    <w:p w14:paraId="4313556F" w14:textId="77777777" w:rsidR="00914EB0" w:rsidRDefault="00914EB0" w:rsidP="00914EB0">
      <w:pPr>
        <w:jc w:val="center"/>
      </w:pPr>
      <w:r w:rsidRPr="00ED2333">
        <w:rPr>
          <w:color w:val="000000"/>
          <w:u w:val="single"/>
          <w:lang w:eastAsia="de-DE"/>
        </w:rPr>
        <w:t>C.L.P. Lucato</w:t>
      </w:r>
      <w:r w:rsidRPr="00ED2333">
        <w:rPr>
          <w:color w:val="000000"/>
          <w:vertAlign w:val="superscript"/>
          <w:lang w:eastAsia="de-DE"/>
        </w:rPr>
        <w:t>1</w:t>
      </w:r>
      <w:r>
        <w:rPr>
          <w:color w:val="000000"/>
          <w:vertAlign w:val="superscript"/>
          <w:lang w:eastAsia="de-DE"/>
        </w:rPr>
        <w:t>,2</w:t>
      </w:r>
      <w:r w:rsidRPr="00ED2333">
        <w:rPr>
          <w:color w:val="000000"/>
          <w:lang w:eastAsia="de-DE"/>
        </w:rPr>
        <w:t>, J. Yang</w:t>
      </w:r>
      <w:r>
        <w:rPr>
          <w:color w:val="000000"/>
          <w:vertAlign w:val="superscript"/>
          <w:lang w:eastAsia="de-DE"/>
        </w:rPr>
        <w:t>2</w:t>
      </w:r>
      <w:r w:rsidRPr="00ED2333">
        <w:rPr>
          <w:color w:val="000000"/>
          <w:lang w:eastAsia="de-DE"/>
        </w:rPr>
        <w:t>, T. Priamushko</w:t>
      </w:r>
      <w:r>
        <w:rPr>
          <w:color w:val="000000"/>
          <w:vertAlign w:val="superscript"/>
          <w:lang w:eastAsia="de-DE"/>
        </w:rPr>
        <w:t>3</w:t>
      </w:r>
      <w:r w:rsidRPr="00ED2333">
        <w:rPr>
          <w:color w:val="000000"/>
          <w:lang w:eastAsia="de-DE"/>
        </w:rPr>
        <w:t>, S. Cherevko</w:t>
      </w:r>
      <w:r>
        <w:rPr>
          <w:color w:val="000000"/>
          <w:vertAlign w:val="superscript"/>
          <w:lang w:eastAsia="de-DE"/>
        </w:rPr>
        <w:t>3</w:t>
      </w:r>
      <w:r w:rsidRPr="00ED2333">
        <w:rPr>
          <w:color w:val="000000"/>
          <w:lang w:eastAsia="de-DE"/>
        </w:rPr>
        <w:t>, O. Brummel</w:t>
      </w:r>
      <w:r>
        <w:rPr>
          <w:color w:val="000000"/>
          <w:vertAlign w:val="superscript"/>
          <w:lang w:eastAsia="de-DE"/>
        </w:rPr>
        <w:t>2</w:t>
      </w:r>
      <w:r w:rsidRPr="00ED2333">
        <w:rPr>
          <w:color w:val="000000"/>
          <w:lang w:eastAsia="de-DE"/>
        </w:rPr>
        <w:t xml:space="preserve">, J. </w:t>
      </w:r>
      <w:r w:rsidRPr="00A33F4E">
        <w:rPr>
          <w:color w:val="000000"/>
          <w:lang w:eastAsia="de-DE"/>
        </w:rPr>
        <w:t>Libuda</w:t>
      </w:r>
      <w:r w:rsidRPr="00A33F4E">
        <w:rPr>
          <w:color w:val="000000"/>
          <w:vertAlign w:val="superscript"/>
          <w:lang w:eastAsia="de-DE"/>
        </w:rPr>
        <w:t>2</w:t>
      </w:r>
      <w:r>
        <w:rPr>
          <w:color w:val="000000"/>
          <w:lang w:eastAsia="de-DE"/>
        </w:rPr>
        <w:t xml:space="preserve">, </w:t>
      </w:r>
      <w:r w:rsidRPr="00A33F4E">
        <w:rPr>
          <w:color w:val="000000"/>
          <w:lang w:eastAsia="de-DE"/>
        </w:rPr>
        <w:t>F</w:t>
      </w:r>
      <w:r w:rsidRPr="00ED2333">
        <w:rPr>
          <w:color w:val="000000"/>
          <w:lang w:eastAsia="de-DE"/>
        </w:rPr>
        <w:t>.H.B. Lima</w:t>
      </w:r>
      <w:r w:rsidRPr="00ED2333">
        <w:rPr>
          <w:color w:val="000000"/>
          <w:vertAlign w:val="superscript"/>
          <w:lang w:eastAsia="de-DE"/>
        </w:rPr>
        <w:t>1</w:t>
      </w:r>
      <w:r>
        <w:rPr>
          <w:color w:val="000000"/>
          <w:vertAlign w:val="superscript"/>
          <w:lang w:eastAsia="de-DE"/>
        </w:rPr>
        <w:t>*</w:t>
      </w:r>
    </w:p>
    <w:p w14:paraId="57C15E49" w14:textId="77777777" w:rsidR="00914EB0" w:rsidRPr="00E90E00" w:rsidRDefault="00914EB0" w:rsidP="00914EB0">
      <w:pPr>
        <w:jc w:val="center"/>
        <w:rPr>
          <w:i/>
          <w:iCs/>
          <w:color w:val="000000"/>
          <w:lang w:eastAsia="de-DE"/>
        </w:rPr>
      </w:pPr>
      <w:r w:rsidRPr="00A33F4E">
        <w:rPr>
          <w:i/>
          <w:iCs/>
          <w:color w:val="000000"/>
          <w:vertAlign w:val="superscript"/>
          <w:lang w:eastAsia="de-DE"/>
        </w:rPr>
        <w:t>1</w:t>
      </w:r>
      <w:r w:rsidRPr="00E90E00">
        <w:rPr>
          <w:i/>
          <w:iCs/>
          <w:color w:val="000000"/>
          <w:lang w:eastAsia="de-DE"/>
        </w:rPr>
        <w:t>Institute of Chemistry of São Carlos (IQSC), University of São Paulo (USP), Av. Trab. São Carlense, 400, São Carlos - SP, 13566-590, Brazil</w:t>
      </w:r>
    </w:p>
    <w:p w14:paraId="304B03FE" w14:textId="77777777" w:rsidR="00914EB0" w:rsidRPr="00E90E00" w:rsidRDefault="00914EB0" w:rsidP="00914EB0">
      <w:pPr>
        <w:jc w:val="center"/>
        <w:rPr>
          <w:i/>
          <w:iCs/>
          <w:color w:val="000000"/>
          <w:lang w:eastAsia="de-DE"/>
        </w:rPr>
      </w:pPr>
      <w:r w:rsidRPr="00A33F4E">
        <w:rPr>
          <w:i/>
          <w:iCs/>
          <w:color w:val="000000"/>
          <w:vertAlign w:val="superscript"/>
          <w:lang w:eastAsia="de-DE"/>
        </w:rPr>
        <w:t>2</w:t>
      </w:r>
      <w:r w:rsidRPr="00E90E00">
        <w:rPr>
          <w:i/>
          <w:iCs/>
          <w:color w:val="000000"/>
          <w:lang w:eastAsia="de-DE"/>
        </w:rPr>
        <w:t>Interface Research and Catalysis, Erlangen Center for Interface Research and Catalysis, Friedrich-Alexander-Universität Erlangen-Nürnberg (FAU), Erlangen, 91058, Germany</w:t>
      </w:r>
    </w:p>
    <w:p w14:paraId="48E4E936" w14:textId="77777777" w:rsidR="00914EB0" w:rsidRPr="00E90E00" w:rsidRDefault="00914EB0" w:rsidP="00914EB0">
      <w:pPr>
        <w:jc w:val="center"/>
        <w:rPr>
          <w:i/>
          <w:iCs/>
          <w:color w:val="000000"/>
          <w:lang w:val="de-DE" w:eastAsia="de-DE"/>
        </w:rPr>
      </w:pPr>
      <w:r w:rsidRPr="006536D9">
        <w:rPr>
          <w:i/>
          <w:iCs/>
          <w:color w:val="000000"/>
          <w:vertAlign w:val="superscript"/>
          <w:lang w:val="de-DE" w:eastAsia="de-DE"/>
        </w:rPr>
        <w:t>3</w:t>
      </w:r>
      <w:r w:rsidRPr="00E90E00">
        <w:rPr>
          <w:i/>
          <w:iCs/>
          <w:color w:val="000000"/>
          <w:lang w:val="de-DE" w:eastAsia="de-DE"/>
        </w:rPr>
        <w:t>Helmholtz-Institute, Erlangen-Nürnberg for Renewable Energy (IET-2), Forschungszentrum Jülich, Erlangen, 91058, Germany</w:t>
      </w:r>
    </w:p>
    <w:p w14:paraId="10D39077" w14:textId="77777777" w:rsidR="00914EB0" w:rsidRPr="00685C1A" w:rsidRDefault="00914EB0" w:rsidP="00914EB0">
      <w:pPr>
        <w:jc w:val="center"/>
        <w:rPr>
          <w:i/>
        </w:rPr>
      </w:pPr>
      <w:r>
        <w:rPr>
          <w:i/>
        </w:rPr>
        <w:t>*fabiohbl@iqsc.usp.br</w:t>
      </w:r>
    </w:p>
    <w:p w14:paraId="1F59E286" w14:textId="77777777" w:rsidR="00914EB0" w:rsidRDefault="00914EB0" w:rsidP="00914EB0">
      <w:pPr>
        <w:jc w:val="both"/>
      </w:pPr>
    </w:p>
    <w:p w14:paraId="5653F87C" w14:textId="1422C0FD" w:rsidR="00914EB0" w:rsidRDefault="00914EB0" w:rsidP="00914EB0">
      <w:pPr>
        <w:jc w:val="both"/>
        <w:rPr>
          <w:snapToGrid/>
        </w:rPr>
      </w:pPr>
      <w:r w:rsidRPr="00E90E00">
        <w:t>Hydrogen production, hindered by the oxygen evolution reaction (OER), offers a promising path for decarbonizing the energy matrix</w:t>
      </w:r>
      <w:r w:rsidRPr="00E90E00">
        <w:rPr>
          <w:vertAlign w:val="superscript"/>
        </w:rPr>
        <w:t xml:space="preserve"> [1].</w:t>
      </w:r>
      <w:r w:rsidRPr="00E90E00">
        <w:t xml:space="preserve"> Manganese oxide-based electrocatalysts (MnO</w:t>
      </w:r>
      <w:r w:rsidRPr="00E90E00">
        <w:rPr>
          <w:vertAlign w:val="subscript"/>
        </w:rPr>
        <w:t>x</w:t>
      </w:r>
      <w:r w:rsidRPr="00E90E00">
        <w:t>) are a sustainable alternative to noble-metal OER catalysts like Ir, and Ru, due to their abundance, low toxicity, and catalytic activity in acidic media</w:t>
      </w:r>
      <w:r w:rsidRPr="00E90E00">
        <w:rPr>
          <w:vertAlign w:val="superscript"/>
        </w:rPr>
        <w:t xml:space="preserve"> [2]</w:t>
      </w:r>
      <w:r>
        <w:t xml:space="preserve">. </w:t>
      </w:r>
      <w:r w:rsidRPr="00E90E00">
        <w:t>Although recent advances, such as combining Mn with Sb to reduce dissolution above 1.75 V</w:t>
      </w:r>
      <w:r w:rsidRPr="00E90E00">
        <w:rPr>
          <w:vertAlign w:val="subscript"/>
        </w:rPr>
        <w:t>RHE</w:t>
      </w:r>
      <w:r w:rsidRPr="00E90E00">
        <w:t>, have improved stability, the high overpotential remains a major challenge for industrial applications</w:t>
      </w:r>
      <w:r>
        <w:t xml:space="preserve"> concerning</w:t>
      </w:r>
      <w:r w:rsidRPr="00ED2333">
        <w:rPr>
          <w:rFonts w:eastAsia="Arial"/>
          <w:lang w:val="en-GB" w:eastAsia="pt-BR"/>
        </w:rPr>
        <w:t xml:space="preserve"> </w:t>
      </w:r>
      <w:r>
        <w:rPr>
          <w:rFonts w:eastAsia="Arial"/>
          <w:lang w:val="en-GB" w:eastAsia="pt-BR"/>
        </w:rPr>
        <w:t>proton exchange membrane</w:t>
      </w:r>
      <w:r w:rsidRPr="00ED2333">
        <w:rPr>
          <w:rFonts w:eastAsia="Arial"/>
          <w:lang w:val="en-GB" w:eastAsia="pt-BR"/>
        </w:rPr>
        <w:t xml:space="preserve"> electrolysers</w:t>
      </w:r>
      <w:r w:rsidRPr="00990422">
        <w:t xml:space="preserve"> </w:t>
      </w:r>
      <w:r w:rsidRPr="00990422">
        <w:rPr>
          <w:rFonts w:eastAsia="Arial"/>
          <w:vertAlign w:val="superscript"/>
          <w:lang w:val="en-GB" w:eastAsia="pt-BR"/>
        </w:rPr>
        <w:t>[3]</w:t>
      </w:r>
      <w:r w:rsidRPr="00E90E00">
        <w:t xml:space="preserve">. In this context, hydrogen-rich small organic molecules are attractive, as a proton source, offering overpotentials lower than OER for green hydrogen production </w:t>
      </w:r>
      <w:r w:rsidRPr="00E90E00">
        <w:rPr>
          <w:vertAlign w:val="superscript"/>
        </w:rPr>
        <w:t>[3]</w:t>
      </w:r>
      <w:r w:rsidRPr="004A69C1">
        <w:t>.</w:t>
      </w:r>
      <w:r>
        <w:rPr>
          <w:snapToGrid/>
        </w:rPr>
        <w:t xml:space="preserve"> </w:t>
      </w:r>
      <w:r w:rsidRPr="00E90E00">
        <w:rPr>
          <w:snapToGrid/>
        </w:rPr>
        <w:t>This study investigates the activity, stability, and selectivity of MnO</w:t>
      </w:r>
      <w:r w:rsidRPr="00E90E00">
        <w:rPr>
          <w:snapToGrid/>
          <w:vertAlign w:val="subscript"/>
        </w:rPr>
        <w:t>x</w:t>
      </w:r>
      <w:r w:rsidRPr="00E90E00">
        <w:rPr>
          <w:snapToGrid/>
        </w:rPr>
        <w:t xml:space="preserve"> and MnSbO</w:t>
      </w:r>
      <w:r w:rsidRPr="00E90E00">
        <w:rPr>
          <w:snapToGrid/>
          <w:vertAlign w:val="subscript"/>
        </w:rPr>
        <w:t>x</w:t>
      </w:r>
      <w:r w:rsidRPr="00E90E00">
        <w:rPr>
          <w:snapToGrid/>
        </w:rPr>
        <w:t xml:space="preserve"> for </w:t>
      </w:r>
      <w:r>
        <w:rPr>
          <w:snapToGrid/>
        </w:rPr>
        <w:t>methanol-assisted OER. By</w:t>
      </w:r>
      <w:r w:rsidRPr="00E90E00">
        <w:rPr>
          <w:snapToGrid/>
        </w:rPr>
        <w:t xml:space="preserve"> </w:t>
      </w:r>
      <w:r>
        <w:rPr>
          <w:snapToGrid/>
        </w:rPr>
        <w:t xml:space="preserve">using </w:t>
      </w:r>
      <w:r>
        <w:rPr>
          <w:rFonts w:eastAsia="Arial"/>
          <w:lang w:eastAsia="pt-BR"/>
        </w:rPr>
        <w:t>e</w:t>
      </w:r>
      <w:r w:rsidRPr="004864E7">
        <w:rPr>
          <w:rFonts w:eastAsia="Arial"/>
          <w:lang w:eastAsia="pt-BR"/>
        </w:rPr>
        <w:t>lectrochemistry coupled with mass spectrometry (EC-MS)</w:t>
      </w:r>
      <w:r>
        <w:rPr>
          <w:rFonts w:eastAsia="Arial"/>
          <w:lang w:eastAsia="pt-BR"/>
        </w:rPr>
        <w:t>, e</w:t>
      </w:r>
      <w:r w:rsidRPr="00E90E00">
        <w:rPr>
          <w:snapToGrid/>
        </w:rPr>
        <w:t>lectrochemical infrared reflection absorption spectroscopy (EC-IRRAS)</w:t>
      </w:r>
      <w:r>
        <w:rPr>
          <w:snapToGrid/>
        </w:rPr>
        <w:t>,</w:t>
      </w:r>
      <w:r w:rsidRPr="00E90E00">
        <w:rPr>
          <w:snapToGrid/>
        </w:rPr>
        <w:t xml:space="preserve"> </w:t>
      </w:r>
      <w:r>
        <w:rPr>
          <w:snapToGrid/>
        </w:rPr>
        <w:t xml:space="preserve">and gas and liquid chromatography, the reaction products were monitored to </w:t>
      </w:r>
      <w:r w:rsidRPr="00E90E00">
        <w:rPr>
          <w:snapToGrid/>
        </w:rPr>
        <w:t>gain mechanistic insights</w:t>
      </w:r>
      <w:r>
        <w:rPr>
          <w:snapToGrid/>
        </w:rPr>
        <w:t xml:space="preserve"> for the two different catalysts. </w:t>
      </w:r>
      <w:r w:rsidRPr="00A84EB3">
        <w:rPr>
          <w:snapToGrid/>
        </w:rPr>
        <w:t>Additionally, online inductively coupled plasma mass spectrometry (ICP</w:t>
      </w:r>
      <w:r>
        <w:rPr>
          <w:snapToGrid/>
        </w:rPr>
        <w:t>-</w:t>
      </w:r>
      <w:r w:rsidRPr="00A84EB3">
        <w:rPr>
          <w:snapToGrid/>
        </w:rPr>
        <w:t>MS) was applied to assess catalyst</w:t>
      </w:r>
      <w:r>
        <w:rPr>
          <w:snapToGrid/>
        </w:rPr>
        <w:t xml:space="preserve"> stability by measuring their</w:t>
      </w:r>
      <w:r w:rsidRPr="00A84EB3">
        <w:rPr>
          <w:snapToGrid/>
        </w:rPr>
        <w:t xml:space="preserve"> dissolution.</w:t>
      </w:r>
      <w:r>
        <w:rPr>
          <w:snapToGrid/>
        </w:rPr>
        <w:t xml:space="preserve"> The results showed that </w:t>
      </w:r>
      <w:r w:rsidRPr="001306E8">
        <w:rPr>
          <w:snapToGrid/>
        </w:rPr>
        <w:t>MnO</w:t>
      </w:r>
      <w:r w:rsidRPr="001306E8">
        <w:rPr>
          <w:snapToGrid/>
          <w:vertAlign w:val="subscript"/>
        </w:rPr>
        <w:t>x</w:t>
      </w:r>
      <w:r w:rsidRPr="001306E8">
        <w:rPr>
          <w:snapToGrid/>
        </w:rPr>
        <w:t xml:space="preserve"> exhibited </w:t>
      </w:r>
      <w:r>
        <w:rPr>
          <w:snapToGrid/>
        </w:rPr>
        <w:t xml:space="preserve">lower </w:t>
      </w:r>
      <w:r w:rsidRPr="001306E8">
        <w:rPr>
          <w:snapToGrid/>
        </w:rPr>
        <w:t>onset potential, faster kinetic rates, and complete consumption of formaldehyde intermediates</w:t>
      </w:r>
      <w:r>
        <w:rPr>
          <w:snapToGrid/>
        </w:rPr>
        <w:t>.</w:t>
      </w:r>
      <w:r w:rsidRPr="001306E8">
        <w:rPr>
          <w:snapToGrid/>
        </w:rPr>
        <w:t xml:space="preserve"> </w:t>
      </w:r>
      <w:r>
        <w:rPr>
          <w:snapToGrid/>
        </w:rPr>
        <w:t>C</w:t>
      </w:r>
      <w:r w:rsidRPr="001306E8">
        <w:rPr>
          <w:snapToGrid/>
        </w:rPr>
        <w:t>onversely, Mn</w:t>
      </w:r>
      <w:r>
        <w:rPr>
          <w:snapToGrid/>
        </w:rPr>
        <w:t>Sb</w:t>
      </w:r>
      <w:r w:rsidRPr="001306E8">
        <w:rPr>
          <w:snapToGrid/>
        </w:rPr>
        <w:t>O</w:t>
      </w:r>
      <w:r w:rsidRPr="001306E8">
        <w:rPr>
          <w:snapToGrid/>
          <w:vertAlign w:val="subscript"/>
        </w:rPr>
        <w:t>x</w:t>
      </w:r>
      <w:r w:rsidRPr="001306E8">
        <w:rPr>
          <w:snapToGrid/>
        </w:rPr>
        <w:t xml:space="preserve"> displayed lower activity and residual intermediates at higher potentials.</w:t>
      </w:r>
      <w:r>
        <w:rPr>
          <w:snapToGrid/>
        </w:rPr>
        <w:t xml:space="preserve"> </w:t>
      </w:r>
      <w:r w:rsidRPr="001306E8">
        <w:rPr>
          <w:snapToGrid/>
        </w:rPr>
        <w:t>Online ICP-MS measurements revealed that MnO</w:t>
      </w:r>
      <w:r w:rsidRPr="001306E8">
        <w:rPr>
          <w:snapToGrid/>
          <w:vertAlign w:val="subscript"/>
        </w:rPr>
        <w:t>x</w:t>
      </w:r>
      <w:r w:rsidRPr="001306E8">
        <w:rPr>
          <w:snapToGrid/>
        </w:rPr>
        <w:t xml:space="preserve"> undergoes significant dissolution at OER-relevant potentials, whereas Sb incorporation markedly suppresses</w:t>
      </w:r>
      <w:r>
        <w:rPr>
          <w:snapToGrid/>
        </w:rPr>
        <w:t xml:space="preserve"> its </w:t>
      </w:r>
      <w:r w:rsidRPr="001306E8">
        <w:rPr>
          <w:snapToGrid/>
        </w:rPr>
        <w:t>dissolution. EC-MS and EC-IRRAS experiments demonstrated that both MnO</w:t>
      </w:r>
      <w:r w:rsidRPr="001306E8">
        <w:rPr>
          <w:snapToGrid/>
          <w:vertAlign w:val="subscript"/>
        </w:rPr>
        <w:t>x</w:t>
      </w:r>
      <w:r w:rsidRPr="001306E8">
        <w:rPr>
          <w:snapToGrid/>
        </w:rPr>
        <w:t xml:space="preserve"> and Mn</w:t>
      </w:r>
      <w:r>
        <w:rPr>
          <w:snapToGrid/>
        </w:rPr>
        <w:t>Sb</w:t>
      </w:r>
      <w:r w:rsidRPr="001306E8">
        <w:rPr>
          <w:snapToGrid/>
        </w:rPr>
        <w:t>O</w:t>
      </w:r>
      <w:r w:rsidRPr="001306E8">
        <w:rPr>
          <w:snapToGrid/>
          <w:vertAlign w:val="subscript"/>
        </w:rPr>
        <w:t>x</w:t>
      </w:r>
      <w:r w:rsidRPr="001306E8">
        <w:rPr>
          <w:snapToGrid/>
        </w:rPr>
        <w:t xml:space="preserve"> promote the electrooxidation of methanol through pathways that avoid </w:t>
      </w:r>
      <w:r>
        <w:rPr>
          <w:snapToGrid/>
        </w:rPr>
        <w:t>CO</w:t>
      </w:r>
      <w:r w:rsidRPr="001306E8">
        <w:rPr>
          <w:snapToGrid/>
        </w:rPr>
        <w:t xml:space="preserve"> accumulation, favoring</w:t>
      </w:r>
      <w:r>
        <w:rPr>
          <w:snapToGrid/>
        </w:rPr>
        <w:t xml:space="preserve">, therefore, </w:t>
      </w:r>
      <w:r w:rsidRPr="001306E8">
        <w:rPr>
          <w:snapToGrid/>
        </w:rPr>
        <w:t xml:space="preserve">the direct route toward </w:t>
      </w:r>
      <w:r>
        <w:rPr>
          <w:snapToGrid/>
        </w:rPr>
        <w:t>CO</w:t>
      </w:r>
      <w:r w:rsidRPr="001306E8">
        <w:rPr>
          <w:snapToGrid/>
          <w:vertAlign w:val="subscript"/>
        </w:rPr>
        <w:t>2</w:t>
      </w:r>
      <w:r w:rsidRPr="001306E8">
        <w:rPr>
          <w:snapToGrid/>
        </w:rPr>
        <w:t xml:space="preserve"> formation. </w:t>
      </w:r>
      <w:r w:rsidRPr="00E90E00">
        <w:rPr>
          <w:snapToGrid/>
        </w:rPr>
        <w:t>In this presentation, we will discuss the aspects that control the stability and selectivity, mainly for the CO</w:t>
      </w:r>
      <w:r w:rsidRPr="00A84EB3">
        <w:rPr>
          <w:snapToGrid/>
          <w:vertAlign w:val="subscript"/>
        </w:rPr>
        <w:t>2</w:t>
      </w:r>
      <w:r w:rsidRPr="00E90E00">
        <w:rPr>
          <w:snapToGrid/>
        </w:rPr>
        <w:t xml:space="preserve"> or O</w:t>
      </w:r>
      <w:r w:rsidRPr="00A84EB3">
        <w:rPr>
          <w:snapToGrid/>
          <w:vertAlign w:val="subscript"/>
        </w:rPr>
        <w:t>2</w:t>
      </w:r>
      <w:r w:rsidRPr="00E90E00">
        <w:rPr>
          <w:snapToGrid/>
        </w:rPr>
        <w:t xml:space="preserve"> formation</w:t>
      </w:r>
      <w:r>
        <w:rPr>
          <w:snapToGrid/>
        </w:rPr>
        <w:t>.</w:t>
      </w:r>
    </w:p>
    <w:p w14:paraId="6E7083A9" w14:textId="77777777" w:rsidR="00914EB0" w:rsidRDefault="00914EB0" w:rsidP="00914EB0">
      <w:pPr>
        <w:jc w:val="both"/>
        <w:rPr>
          <w:snapToGrid/>
        </w:rPr>
      </w:pPr>
    </w:p>
    <w:p w14:paraId="6D77E9B2" w14:textId="77777777" w:rsidR="00914EB0" w:rsidRDefault="00914EB0" w:rsidP="00914EB0">
      <w:pPr>
        <w:jc w:val="both"/>
        <w:rPr>
          <w:snapToGrid/>
        </w:rPr>
      </w:pPr>
      <w:r>
        <w:rPr>
          <w:snapToGrid/>
        </w:rPr>
        <w:t>References</w:t>
      </w:r>
    </w:p>
    <w:p w14:paraId="2C4D42E2" w14:textId="77777777" w:rsidR="00914EB0" w:rsidRPr="00A84EB3" w:rsidRDefault="00914EB0" w:rsidP="00914EB0">
      <w:pPr>
        <w:jc w:val="both"/>
        <w:rPr>
          <w:snapToGrid/>
        </w:rPr>
      </w:pPr>
      <w:r w:rsidRPr="00A84EB3">
        <w:rPr>
          <w:snapToGrid/>
        </w:rPr>
        <w:t xml:space="preserve">[1] </w:t>
      </w:r>
      <w:r w:rsidRPr="00882695">
        <w:rPr>
          <w:snapToGrid/>
        </w:rPr>
        <w:t>IRENA – International Renewable Energy Agency. Green Hydrogen Cost Reduction: Scaling Up Electrolysers to Meet the 1.5°C Climate Goal. Abu Dhabi: IRENA, 2020.</w:t>
      </w:r>
      <w:r w:rsidRPr="00A84EB3">
        <w:rPr>
          <w:snapToGrid/>
        </w:rPr>
        <w:t xml:space="preserve"> </w:t>
      </w:r>
    </w:p>
    <w:p w14:paraId="2B0B9D43" w14:textId="77777777" w:rsidR="00914EB0" w:rsidRDefault="00914EB0" w:rsidP="00914EB0">
      <w:pPr>
        <w:jc w:val="both"/>
        <w:rPr>
          <w:snapToGrid/>
        </w:rPr>
      </w:pPr>
      <w:r w:rsidRPr="00A84EB3">
        <w:rPr>
          <w:snapToGrid/>
        </w:rPr>
        <w:t>[2]</w:t>
      </w:r>
      <w:r>
        <w:rPr>
          <w:snapToGrid/>
        </w:rPr>
        <w:t xml:space="preserve"> </w:t>
      </w:r>
      <w:r w:rsidRPr="00882695">
        <w:rPr>
          <w:snapToGrid/>
        </w:rPr>
        <w:t>Wang, P.; et al. Manganese-Based Oxide Electrocatalysts for the Oxygen Evolution Reaction: A Review. Royal Society of Chemistry, 2023</w:t>
      </w:r>
      <w:r w:rsidRPr="00A84EB3">
        <w:rPr>
          <w:snapToGrid/>
        </w:rPr>
        <w:t xml:space="preserve">. </w:t>
      </w:r>
    </w:p>
    <w:p w14:paraId="779CDFEA" w14:textId="77777777" w:rsidR="00914EB0" w:rsidRPr="00A84EB3" w:rsidRDefault="00914EB0" w:rsidP="00914EB0">
      <w:pPr>
        <w:jc w:val="both"/>
        <w:rPr>
          <w:snapToGrid/>
        </w:rPr>
      </w:pPr>
      <w:r w:rsidRPr="00882695">
        <w:rPr>
          <w:snapToGrid/>
        </w:rPr>
        <w:t>[</w:t>
      </w:r>
      <w:r>
        <w:rPr>
          <w:snapToGrid/>
        </w:rPr>
        <w:t>3</w:t>
      </w:r>
      <w:r w:rsidRPr="00882695">
        <w:rPr>
          <w:snapToGrid/>
        </w:rPr>
        <w:t>]</w:t>
      </w:r>
      <w:r>
        <w:rPr>
          <w:snapToGrid/>
        </w:rPr>
        <w:t xml:space="preserve"> </w:t>
      </w:r>
      <w:r w:rsidRPr="00882695">
        <w:rPr>
          <w:snapToGrid/>
        </w:rPr>
        <w:t>Zhou, L.; et al. Rutile alloys in the Mn–Sb–O system stabilize Mn³⁺ to enable oxygen evolution in strong acid. ACS Catalysis, v. 8, n. 12, p. 10938–10948, 2018.</w:t>
      </w:r>
    </w:p>
    <w:p w14:paraId="58470646" w14:textId="77777777" w:rsidR="00914EB0" w:rsidRDefault="00914EB0" w:rsidP="00914EB0">
      <w:pPr>
        <w:jc w:val="both"/>
        <w:rPr>
          <w:snapToGrid/>
        </w:rPr>
      </w:pPr>
      <w:r w:rsidRPr="00A84EB3">
        <w:rPr>
          <w:snapToGrid/>
        </w:rPr>
        <w:t>[</w:t>
      </w:r>
      <w:r>
        <w:rPr>
          <w:snapToGrid/>
        </w:rPr>
        <w:t>4</w:t>
      </w:r>
      <w:r w:rsidRPr="00A84EB3">
        <w:rPr>
          <w:snapToGrid/>
        </w:rPr>
        <w:t xml:space="preserve">] </w:t>
      </w:r>
      <w:r w:rsidRPr="00882695">
        <w:rPr>
          <w:snapToGrid/>
        </w:rPr>
        <w:t>Li, A.; et al. Stable potential windows for long-term electrocatalysis by manganese oxides under acidic conditions. Angewandte Chemie International Edition, v. 58, n. 15, p. 5054–5058, 2019.</w:t>
      </w:r>
    </w:p>
    <w:p w14:paraId="37C8856B" w14:textId="77777777" w:rsidR="00914EB0" w:rsidRDefault="00914EB0" w:rsidP="00914EB0">
      <w:pPr>
        <w:jc w:val="both"/>
        <w:rPr>
          <w:snapToGrid/>
        </w:rPr>
      </w:pPr>
    </w:p>
    <w:p w14:paraId="22B3397B" w14:textId="77777777" w:rsidR="00914EB0" w:rsidRDefault="00914EB0" w:rsidP="00914EB0">
      <w:pPr>
        <w:jc w:val="both"/>
      </w:pPr>
      <w:r>
        <w:t>Acknowledgements</w:t>
      </w:r>
    </w:p>
    <w:p w14:paraId="50B0F4D5" w14:textId="77777777" w:rsidR="00914EB0" w:rsidRDefault="00914EB0" w:rsidP="00914EB0">
      <w:pPr>
        <w:jc w:val="both"/>
      </w:pPr>
      <w:r w:rsidRPr="006654EC">
        <w:t>The authors acknowledge the funding from the São Paulo Research Foundation through projects 2019/22183-6, 2021/00908-9, and 2024/08046-4.</w:t>
      </w:r>
    </w:p>
    <w:p w14:paraId="3CE80574" w14:textId="77777777" w:rsidR="00FF469D" w:rsidRDefault="00FF469D"/>
    <w:sectPr w:rsidR="00FF469D" w:rsidSect="00914EB0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B0"/>
    <w:rsid w:val="001E351E"/>
    <w:rsid w:val="00914EB0"/>
    <w:rsid w:val="00DB7A77"/>
    <w:rsid w:val="00DC7D49"/>
    <w:rsid w:val="00FE689C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2B3A"/>
  <w15:chartTrackingRefBased/>
  <w15:docId w15:val="{C8232A86-F9DF-43ED-A9FC-6F8B067BD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EB0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914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4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4EB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4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4EB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4E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4E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4E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4E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4EB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4E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4EB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4EB0"/>
    <w:rPr>
      <w:rFonts w:eastAsiaTheme="majorEastAsia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4EB0"/>
    <w:rPr>
      <w:rFonts w:eastAsiaTheme="majorEastAsia" w:cstheme="majorBidi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4E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4EB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4E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4E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4E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4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4E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4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4E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4EB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4EB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4EB0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4E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4EB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4EB0"/>
    <w:rPr>
      <w:b/>
      <w:bCs/>
      <w:smallCaps/>
      <w:color w:val="365F91" w:themeColor="accent1" w:themeShade="BF"/>
      <w:spacing w:val="5"/>
    </w:rPr>
  </w:style>
  <w:style w:type="character" w:styleId="Refdecomentrio">
    <w:name w:val="annotation reference"/>
    <w:uiPriority w:val="99"/>
    <w:semiHidden/>
    <w:unhideWhenUsed/>
    <w:rsid w:val="00914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14EB0"/>
    <w:pPr>
      <w:widowControl/>
      <w:spacing w:after="160"/>
    </w:pPr>
    <w:rPr>
      <w:rFonts w:ascii="Calibri" w:eastAsia="Calibri" w:hAnsi="Calibri"/>
      <w:snapToGrid/>
      <w:kern w:val="2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14EB0"/>
    <w:rPr>
      <w:rFonts w:ascii="Calibri" w:eastAsia="Calibri" w:hAnsi="Calibri" w:cs="Times New Roman"/>
      <w:kern w:val="2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A2155-45AB-4FA2-834C-2F75E69E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Cassio Luis Pires Lucato</dc:creator>
  <cp:keywords/>
  <dc:description/>
  <cp:lastModifiedBy>Cassio Luis Pires Lucato</cp:lastModifiedBy>
  <cp:revision>2</cp:revision>
  <dcterms:created xsi:type="dcterms:W3CDTF">2026-06-15T12:49:00Z</dcterms:created>
  <dcterms:modified xsi:type="dcterms:W3CDTF">2026-06-15T12:52:00Z</dcterms:modified>
</cp:coreProperties>
</file>