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7FF56" w14:textId="3201CABD" w:rsidR="00325004" w:rsidRDefault="00004993" w:rsidP="00962AC9">
      <w:pPr>
        <w:jc w:val="center"/>
        <w:rPr>
          <w:b/>
          <w:sz w:val="28"/>
        </w:rPr>
      </w:pPr>
      <w:r w:rsidRPr="00004993">
        <w:rPr>
          <w:b/>
          <w:sz w:val="28"/>
        </w:rPr>
        <w:t>Nano-Engineered Electrified Interfaces Based on MXenes and Molecularly Imprinted Polymers for Selective Immunometabolic Biomarker Detection</w:t>
      </w:r>
    </w:p>
    <w:p w14:paraId="5D63A17F" w14:textId="77777777" w:rsidR="00004993" w:rsidRPr="00A86EB9" w:rsidRDefault="00004993" w:rsidP="00E0716D">
      <w:pPr>
        <w:jc w:val="center"/>
        <w:rPr>
          <w:b/>
          <w:sz w:val="28"/>
        </w:rPr>
      </w:pPr>
    </w:p>
    <w:p w14:paraId="23EB4290" w14:textId="656CB02F" w:rsidR="00325004" w:rsidRDefault="00004993" w:rsidP="00E0716D">
      <w:pPr>
        <w:jc w:val="center"/>
        <w:rPr>
          <w:lang w:val="pl-PL"/>
        </w:rPr>
      </w:pPr>
      <w:r w:rsidRPr="00004993">
        <w:rPr>
          <w:u w:val="single"/>
          <w:lang w:val="pl-PL"/>
        </w:rPr>
        <w:t>Karolina Winkler</w:t>
      </w:r>
      <w:r w:rsidRPr="00004993">
        <w:rPr>
          <w:u w:val="single"/>
          <w:vertAlign w:val="superscript"/>
          <w:lang w:val="pl-PL"/>
        </w:rPr>
        <w:t>1</w:t>
      </w:r>
      <w:r w:rsidRPr="00004993">
        <w:rPr>
          <w:lang w:val="pl-PL"/>
        </w:rPr>
        <w:t>, Anitha Ethirajan</w:t>
      </w:r>
      <w:r w:rsidRPr="00004993">
        <w:rPr>
          <w:vertAlign w:val="superscript"/>
          <w:lang w:val="pl-PL"/>
        </w:rPr>
        <w:t>2</w:t>
      </w:r>
      <w:r w:rsidR="00325004" w:rsidRPr="00004993">
        <w:rPr>
          <w:lang w:val="pl-PL"/>
        </w:rPr>
        <w:t>,</w:t>
      </w:r>
      <w:r w:rsidRPr="00004993">
        <w:rPr>
          <w:lang w:val="pl-PL"/>
        </w:rPr>
        <w:t xml:space="preserve"> Tiwa Yimyai</w:t>
      </w:r>
      <w:r w:rsidRPr="00004993">
        <w:rPr>
          <w:vertAlign w:val="superscript"/>
          <w:lang w:val="pl-PL"/>
        </w:rPr>
        <w:t>2</w:t>
      </w:r>
      <w:r w:rsidRPr="00004993">
        <w:rPr>
          <w:lang w:val="pl-PL"/>
        </w:rPr>
        <w:t>, Wojciech Simka</w:t>
      </w:r>
      <w:r w:rsidRPr="00004993">
        <w:rPr>
          <w:vertAlign w:val="superscript"/>
          <w:lang w:val="pl-PL"/>
        </w:rPr>
        <w:t>1</w:t>
      </w:r>
      <w:r w:rsidR="00325004" w:rsidRPr="00004993">
        <w:rPr>
          <w:lang w:val="pl-PL"/>
        </w:rPr>
        <w:t xml:space="preserve"> </w:t>
      </w:r>
    </w:p>
    <w:p w14:paraId="35E8D137" w14:textId="77777777" w:rsidR="00004993" w:rsidRPr="00004993" w:rsidRDefault="00004993" w:rsidP="00E0716D">
      <w:pPr>
        <w:jc w:val="center"/>
        <w:rPr>
          <w:lang w:val="pl-PL"/>
        </w:rPr>
      </w:pPr>
    </w:p>
    <w:p w14:paraId="4277A764" w14:textId="1C455F71" w:rsidR="00004993" w:rsidRPr="00004993" w:rsidRDefault="00004993" w:rsidP="00962AC9">
      <w:pPr>
        <w:jc w:val="center"/>
        <w:rPr>
          <w:i/>
        </w:rPr>
      </w:pPr>
      <w:r w:rsidRPr="00004993">
        <w:rPr>
          <w:i/>
          <w:vertAlign w:val="superscript"/>
        </w:rPr>
        <w:t>1</w:t>
      </w:r>
      <w:r w:rsidRPr="00004993">
        <w:rPr>
          <w:i/>
        </w:rPr>
        <w:t xml:space="preserve"> Department of Inorganic, Analytical Chemistry and Electrochemistry, Silesian University of Technology, Gliwice, Silesian Voivodeship, Poland</w:t>
      </w:r>
    </w:p>
    <w:p w14:paraId="517E0A40" w14:textId="77777777" w:rsidR="00004993" w:rsidRDefault="00004993" w:rsidP="00004993">
      <w:pPr>
        <w:jc w:val="center"/>
        <w:rPr>
          <w:i/>
        </w:rPr>
      </w:pPr>
      <w:r w:rsidRPr="00004993">
        <w:rPr>
          <w:i/>
          <w:vertAlign w:val="superscript"/>
        </w:rPr>
        <w:t>2</w:t>
      </w:r>
      <w:r>
        <w:rPr>
          <w:i/>
        </w:rPr>
        <w:t xml:space="preserve"> </w:t>
      </w:r>
      <w:r w:rsidRPr="00004993">
        <w:rPr>
          <w:i/>
        </w:rPr>
        <w:t>Institute for Materials Research (IMO-IMOMEC), Hasselt University, Hasselt, Belgium</w:t>
      </w:r>
    </w:p>
    <w:p w14:paraId="452478BC" w14:textId="77777777" w:rsidR="00004993" w:rsidRDefault="00004993" w:rsidP="00004993">
      <w:pPr>
        <w:jc w:val="center"/>
        <w:rPr>
          <w:i/>
        </w:rPr>
      </w:pPr>
    </w:p>
    <w:p w14:paraId="78BABB74" w14:textId="0D7C5D1D" w:rsidR="00325004" w:rsidRDefault="00004993" w:rsidP="00004993">
      <w:pPr>
        <w:jc w:val="center"/>
        <w:rPr>
          <w:i/>
        </w:rPr>
      </w:pPr>
      <w:hyperlink r:id="rId4" w:history="1">
        <w:r w:rsidRPr="00CB0B90">
          <w:rPr>
            <w:rStyle w:val="Hipercze"/>
            <w:i/>
          </w:rPr>
          <w:t>karolina.winkler@polsl.pl</w:t>
        </w:r>
      </w:hyperlink>
    </w:p>
    <w:p w14:paraId="180AAD0C" w14:textId="75D4DB3B" w:rsidR="00B42587" w:rsidRPr="00B42587" w:rsidRDefault="00B42587" w:rsidP="00A66417">
      <w:pPr>
        <w:spacing w:before="100" w:beforeAutospacing="1" w:after="100" w:afterAutospacing="1"/>
        <w:jc w:val="both"/>
        <w:rPr>
          <w:lang w:val="en-GB"/>
        </w:rPr>
      </w:pPr>
      <w:r w:rsidRPr="00B42587">
        <w:rPr>
          <w:lang w:val="en-GB"/>
        </w:rPr>
        <w:t>The immunometabolic axis represents a complex network connecting energy metabolism, glycemic regulation, oxidative stress, and inflammatory response [1]. Dysregulation of this axis plays a significant role in the pathogenesis of metabolic, cardiovascular, and endocrine-metabolic disorders [2].</w:t>
      </w:r>
      <w:r w:rsidR="00A66417">
        <w:rPr>
          <w:lang w:val="en-GB"/>
        </w:rPr>
        <w:t xml:space="preserve"> </w:t>
      </w:r>
      <w:r w:rsidRPr="00B42587">
        <w:rPr>
          <w:lang w:val="en-GB"/>
        </w:rPr>
        <w:t>Electrochemical sensing platforms represent promising tools for monitoring immunometabolic processes due to their miniaturization potential, low analysis cost, and compatibility with point-of-care systems. Particular attention is currently devoted to conductive nanomaterials capable of improving sensitivity, stability, and electron transfer efficiency in electrochemical sensing systems.</w:t>
      </w:r>
    </w:p>
    <w:p w14:paraId="6C9D53AA" w14:textId="77777777" w:rsidR="00B42587" w:rsidRPr="00B42587" w:rsidRDefault="00B42587" w:rsidP="00A66417">
      <w:pPr>
        <w:spacing w:before="100" w:beforeAutospacing="1" w:after="100" w:afterAutospacing="1"/>
        <w:jc w:val="both"/>
        <w:rPr>
          <w:lang w:val="en-GB"/>
        </w:rPr>
      </w:pPr>
      <w:r w:rsidRPr="00B42587">
        <w:rPr>
          <w:lang w:val="en-GB"/>
        </w:rPr>
        <w:t>In this work, nano-engineered electrochemical sensing interfaces based on MXene nanomaterials and molecularly imprinted polymers (MIPs) were developed for selective detection of immunometabolic biomarkers. MXenes, a class of two-dimensional transition metal carbides and nitrides, are characterized by high electrical conductivity, large specific surface area, and abundant surface functional groups [3]. Integration of MXenes with MIP recognition layers enabled fabrication of highly conductive sensing interfaces with improved selectivity and analytical sensitivity.</w:t>
      </w:r>
    </w:p>
    <w:p w14:paraId="3F7A69A9" w14:textId="5C9CA61D" w:rsidR="00B42587" w:rsidRPr="00B42587" w:rsidRDefault="00B42587" w:rsidP="00A66417">
      <w:pPr>
        <w:spacing w:before="100" w:beforeAutospacing="1" w:after="100" w:afterAutospacing="1"/>
        <w:jc w:val="both"/>
        <w:rPr>
          <w:lang w:val="en-GB"/>
        </w:rPr>
      </w:pPr>
      <w:r w:rsidRPr="00B42587">
        <w:rPr>
          <w:lang w:val="en-GB"/>
        </w:rPr>
        <w:t>The developed sensing strategy was focused on selective electrochemical detection of biomarkers associated with immunometabolic dysregulation, particularly abscisic acid (ABA), which acts as a regulatory signaling molecule involved in maintenance of metabolic homeostasis. ABA regulates glucose metabolism through activation of the LANCL2 receptor and AMPK signaling pathway. Disturbances in ABA signaling are associated with insulin resistance, chronic inflammation, and oxidative stress.</w:t>
      </w:r>
      <w:r w:rsidR="007214C4">
        <w:rPr>
          <w:lang w:val="en-GB"/>
        </w:rPr>
        <w:t xml:space="preserve"> </w:t>
      </w:r>
      <w:r w:rsidRPr="00B42587">
        <w:rPr>
          <w:lang w:val="en-GB"/>
        </w:rPr>
        <w:t>The fabricated sensing platforms were characterized using cyclic voltammetry (CV), differential pulse voltammetry (DPV), and electrochemical impedance spectroscopy (EIS). Electrochemical studies confirmed enhanced charge transfer properties and high electroanalytical performance of MXene/MIP-modified interfaces.</w:t>
      </w:r>
      <w:r w:rsidR="007214C4">
        <w:rPr>
          <w:lang w:val="en-GB"/>
        </w:rPr>
        <w:t xml:space="preserve"> </w:t>
      </w:r>
      <w:r w:rsidRPr="00B42587">
        <w:rPr>
          <w:lang w:val="en-GB"/>
        </w:rPr>
        <w:t>The proposed nano-engineered electrochemical platforms may provide new opportunities for sensitive monitoring of immunometabolic alterations with potential applications in biomedical diagnostics, inflammation monitoring, and early detection of metabolic disorders.</w:t>
      </w:r>
    </w:p>
    <w:p w14:paraId="1D04C393" w14:textId="77777777" w:rsidR="00B42587" w:rsidRPr="00A66417" w:rsidRDefault="00B42587" w:rsidP="00962AC9">
      <w:pPr>
        <w:spacing w:before="100" w:beforeAutospacing="1" w:after="100" w:afterAutospacing="1"/>
        <w:rPr>
          <w:lang w:val="en-GB"/>
        </w:rPr>
      </w:pPr>
    </w:p>
    <w:p w14:paraId="5ECF72F9" w14:textId="0CCC8486" w:rsidR="00962AC9" w:rsidRDefault="00962AC9" w:rsidP="00962AC9">
      <w:pPr>
        <w:spacing w:before="100" w:beforeAutospacing="1" w:after="100" w:afterAutospacing="1"/>
        <w:rPr>
          <w:color w:val="000000"/>
          <w:lang w:val="en-GB" w:eastAsia="pl-PL"/>
        </w:rPr>
      </w:pPr>
      <w:r w:rsidRPr="007023C8">
        <w:rPr>
          <w:color w:val="000000"/>
          <w:lang w:val="en-GB" w:eastAsia="pl-PL"/>
        </w:rPr>
        <w:t>[1] Hotamisligil, G. S. (2017). Inflammation, metaflammation and immunometabolic disorders. </w:t>
      </w:r>
      <w:r w:rsidRPr="007023C8">
        <w:rPr>
          <w:i/>
          <w:iCs/>
          <w:color w:val="000000"/>
          <w:lang w:val="en-GB" w:eastAsia="pl-PL"/>
        </w:rPr>
        <w:t>Nature</w:t>
      </w:r>
      <w:r w:rsidRPr="007023C8">
        <w:rPr>
          <w:color w:val="000000"/>
          <w:lang w:val="en-GB" w:eastAsia="pl-PL"/>
        </w:rPr>
        <w:t>, 542, 177–185.</w:t>
      </w:r>
    </w:p>
    <w:p w14:paraId="64358CA7" w14:textId="1176D0C5" w:rsidR="00962AC9" w:rsidRPr="007023C8" w:rsidRDefault="00962AC9" w:rsidP="00962AC9">
      <w:pPr>
        <w:spacing w:before="100" w:beforeAutospacing="1" w:after="100" w:afterAutospacing="1"/>
        <w:rPr>
          <w:color w:val="000000"/>
          <w:lang w:val="en-GB" w:eastAsia="pl-PL"/>
        </w:rPr>
      </w:pPr>
      <w:r w:rsidRPr="007023C8">
        <w:rPr>
          <w:color w:val="000000"/>
          <w:lang w:val="en-GB" w:eastAsia="pl-PL"/>
        </w:rPr>
        <w:t>[</w:t>
      </w:r>
      <w:r>
        <w:rPr>
          <w:color w:val="000000"/>
          <w:lang w:val="en-GB" w:eastAsia="pl-PL"/>
        </w:rPr>
        <w:t>2</w:t>
      </w:r>
      <w:r w:rsidRPr="007023C8">
        <w:rPr>
          <w:color w:val="000000"/>
          <w:lang w:val="en-GB" w:eastAsia="pl-PL"/>
        </w:rPr>
        <w:t>] Stener-Victorin, E., &amp; Deng, Q. (2021). Epigenetic inheritance of PCOS by developmental programming and germline transmission. </w:t>
      </w:r>
      <w:r w:rsidRPr="007023C8">
        <w:rPr>
          <w:i/>
          <w:iCs/>
          <w:color w:val="000000"/>
          <w:lang w:val="en-GB" w:eastAsia="pl-PL"/>
        </w:rPr>
        <w:t>Trends in Endocrinology &amp; Metabolism</w:t>
      </w:r>
      <w:r w:rsidRPr="007023C8">
        <w:rPr>
          <w:color w:val="000000"/>
          <w:lang w:val="en-GB" w:eastAsia="pl-PL"/>
        </w:rPr>
        <w:t>, 32, 318–330.</w:t>
      </w:r>
    </w:p>
    <w:p w14:paraId="2F0507FE" w14:textId="79E6E515" w:rsidR="00962AC9" w:rsidRPr="00962AC9" w:rsidRDefault="00962AC9" w:rsidP="00962AC9">
      <w:pPr>
        <w:spacing w:before="100" w:beforeAutospacing="1" w:after="100" w:afterAutospacing="1"/>
        <w:rPr>
          <w:color w:val="000000"/>
          <w:lang w:val="en-GB" w:eastAsia="pl-PL"/>
        </w:rPr>
      </w:pPr>
      <w:r w:rsidRPr="00A66417">
        <w:rPr>
          <w:color w:val="000000"/>
          <w:lang w:val="en-GB" w:eastAsia="pl-PL"/>
        </w:rPr>
        <w:t xml:space="preserve">[3] Anasori, B., Lukatskaya, M. R., &amp; Gogotsi, Y. (2017). </w:t>
      </w:r>
      <w:r w:rsidRPr="007023C8">
        <w:rPr>
          <w:color w:val="000000"/>
          <w:lang w:val="en-GB" w:eastAsia="pl-PL"/>
        </w:rPr>
        <w:t>2D metal carbides and nitrides (MXenes) for energy storage. </w:t>
      </w:r>
      <w:r w:rsidRPr="007023C8">
        <w:rPr>
          <w:i/>
          <w:iCs/>
          <w:color w:val="000000"/>
          <w:lang w:val="en-GB" w:eastAsia="pl-PL"/>
        </w:rPr>
        <w:t>Nature Reviews Materials</w:t>
      </w:r>
      <w:r w:rsidRPr="007023C8">
        <w:rPr>
          <w:color w:val="000000"/>
          <w:lang w:val="en-GB" w:eastAsia="pl-PL"/>
        </w:rPr>
        <w:t>, 2, 16098.</w:t>
      </w:r>
    </w:p>
    <w:sectPr w:rsidR="00962AC9" w:rsidRPr="00962AC9"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4993"/>
    <w:rsid w:val="00041EFD"/>
    <w:rsid w:val="00325004"/>
    <w:rsid w:val="00536366"/>
    <w:rsid w:val="00685C1A"/>
    <w:rsid w:val="007214C4"/>
    <w:rsid w:val="00962AC9"/>
    <w:rsid w:val="00A66417"/>
    <w:rsid w:val="00B42587"/>
    <w:rsid w:val="00DD4BEE"/>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0FA0A5"/>
  <w14:defaultImageDpi w14:val="300"/>
  <w15:docId w15:val="{5E68C99C-B280-4D86-8810-2A49421D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004993"/>
    <w:rPr>
      <w:color w:val="0000FF" w:themeColor="hyperlink"/>
      <w:u w:val="single"/>
    </w:rPr>
  </w:style>
  <w:style w:type="character" w:styleId="Nierozpoznanawzmianka">
    <w:name w:val="Unresolved Mention"/>
    <w:basedOn w:val="Domylnaczcionkaakapitu"/>
    <w:uiPriority w:val="99"/>
    <w:semiHidden/>
    <w:unhideWhenUsed/>
    <w:rsid w:val="000049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rolina.winkler@pols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469</Words>
  <Characters>2820</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Karolina Winkler</cp:lastModifiedBy>
  <cp:revision>4</cp:revision>
  <cp:lastPrinted>2013-10-21T12:07:00Z</cp:lastPrinted>
  <dcterms:created xsi:type="dcterms:W3CDTF">2026-05-28T11:12:00Z</dcterms:created>
  <dcterms:modified xsi:type="dcterms:W3CDTF">2026-05-28T11:14:00Z</dcterms:modified>
</cp:coreProperties>
</file>