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0A189" w14:textId="0B3EA570" w:rsidR="00325004" w:rsidRPr="00A86EB9" w:rsidRDefault="008473E6" w:rsidP="00E0716D">
      <w:pPr>
        <w:jc w:val="center"/>
        <w:rPr>
          <w:b/>
          <w:sz w:val="28"/>
        </w:rPr>
      </w:pPr>
      <w:r w:rsidRPr="008473E6">
        <w:rPr>
          <w:b/>
          <w:sz w:val="28"/>
        </w:rPr>
        <w:t>Electrochemical Determination of Amphetamine in Street Samples</w:t>
      </w:r>
    </w:p>
    <w:p w14:paraId="6141A882" w14:textId="77777777" w:rsidR="00325004" w:rsidRPr="00A86EB9" w:rsidRDefault="00325004" w:rsidP="00E0716D">
      <w:pPr>
        <w:jc w:val="center"/>
        <w:rPr>
          <w:b/>
          <w:sz w:val="28"/>
        </w:rPr>
      </w:pPr>
    </w:p>
    <w:p w14:paraId="2EEA75B8" w14:textId="02238885" w:rsidR="00325004" w:rsidRPr="008473E6" w:rsidRDefault="008473E6" w:rsidP="00E0716D">
      <w:pPr>
        <w:jc w:val="center"/>
        <w:rPr>
          <w:lang w:val="pl-PL"/>
        </w:rPr>
      </w:pPr>
      <w:r w:rsidRPr="008473E6">
        <w:rPr>
          <w:u w:val="single"/>
          <w:lang w:val="pl-PL"/>
        </w:rPr>
        <w:t>Karolina Kwaczyński</w:t>
      </w:r>
      <w:r w:rsidRPr="008473E6">
        <w:rPr>
          <w:u w:val="single"/>
          <w:vertAlign w:val="superscript"/>
          <w:lang w:val="pl-PL"/>
        </w:rPr>
        <w:t>1</w:t>
      </w:r>
      <w:r w:rsidR="00325004" w:rsidRPr="008473E6">
        <w:rPr>
          <w:lang w:val="pl-PL"/>
        </w:rPr>
        <w:t xml:space="preserve">, </w:t>
      </w:r>
      <w:r w:rsidRPr="008473E6">
        <w:rPr>
          <w:lang w:val="pl-PL"/>
        </w:rPr>
        <w:t>Grzegorz K</w:t>
      </w:r>
      <w:r>
        <w:rPr>
          <w:lang w:val="pl-PL"/>
        </w:rPr>
        <w:t>owalski</w:t>
      </w:r>
      <w:r w:rsidRPr="008473E6">
        <w:rPr>
          <w:vertAlign w:val="superscript"/>
          <w:lang w:val="pl-PL"/>
        </w:rPr>
        <w:t>1</w:t>
      </w:r>
      <w:r>
        <w:rPr>
          <w:lang w:val="pl-PL"/>
        </w:rPr>
        <w:t>, Olga Szymaniec</w:t>
      </w:r>
      <w:r w:rsidRPr="008473E6">
        <w:rPr>
          <w:vertAlign w:val="superscript"/>
          <w:lang w:val="pl-PL"/>
        </w:rPr>
        <w:t>1</w:t>
      </w:r>
      <w:r>
        <w:rPr>
          <w:lang w:val="pl-PL"/>
        </w:rPr>
        <w:t>, Justyna Piechocka</w:t>
      </w:r>
      <w:r w:rsidRPr="008473E6">
        <w:rPr>
          <w:vertAlign w:val="superscript"/>
          <w:lang w:val="pl-PL"/>
        </w:rPr>
        <w:t>1</w:t>
      </w:r>
      <w:r>
        <w:rPr>
          <w:lang w:val="pl-PL"/>
        </w:rPr>
        <w:t>, Paweł Kwaczyński</w:t>
      </w:r>
      <w:r w:rsidRPr="008473E6">
        <w:rPr>
          <w:vertAlign w:val="superscript"/>
          <w:lang w:val="pl-PL"/>
        </w:rPr>
        <w:t>2</w:t>
      </w:r>
      <w:r>
        <w:rPr>
          <w:lang w:val="pl-PL"/>
        </w:rPr>
        <w:t xml:space="preserve">, </w:t>
      </w:r>
      <w:proofErr w:type="spellStart"/>
      <w:r>
        <w:rPr>
          <w:lang w:val="pl-PL"/>
        </w:rPr>
        <w:t>Lukasz</w:t>
      </w:r>
      <w:proofErr w:type="spellEnd"/>
      <w:r>
        <w:rPr>
          <w:lang w:val="pl-PL"/>
        </w:rPr>
        <w:t xml:space="preserve"> </w:t>
      </w:r>
      <w:proofErr w:type="spellStart"/>
      <w:r>
        <w:rPr>
          <w:lang w:val="pl-PL"/>
        </w:rPr>
        <w:t>Poltorak</w:t>
      </w:r>
      <w:proofErr w:type="spellEnd"/>
      <w:r>
        <w:rPr>
          <w:lang w:val="pl-PL"/>
        </w:rPr>
        <w:t xml:space="preserve"> </w:t>
      </w:r>
    </w:p>
    <w:p w14:paraId="73B2DC4C" w14:textId="1422AB73" w:rsidR="00325004" w:rsidRPr="008473E6" w:rsidRDefault="008473E6" w:rsidP="00E0716D">
      <w:pPr>
        <w:jc w:val="center"/>
        <w:rPr>
          <w:i/>
        </w:rPr>
      </w:pPr>
      <w:r w:rsidRPr="008473E6">
        <w:rPr>
          <w:i/>
          <w:vertAlign w:val="superscript"/>
        </w:rPr>
        <w:t>1</w:t>
      </w:r>
      <w:r w:rsidRPr="008473E6">
        <w:rPr>
          <w:i/>
        </w:rPr>
        <w:t>Department of Inorganic and Analytical Chemistry,</w:t>
      </w:r>
      <w:r w:rsidR="00D62DE8">
        <w:rPr>
          <w:i/>
        </w:rPr>
        <w:t xml:space="preserve"> Faculty of Chemistry,</w:t>
      </w:r>
      <w:r w:rsidRPr="008473E6">
        <w:rPr>
          <w:i/>
        </w:rPr>
        <w:t xml:space="preserve"> University of Lodz, Poland</w:t>
      </w:r>
    </w:p>
    <w:p w14:paraId="2FBA4240" w14:textId="4838F3AF" w:rsidR="00325004" w:rsidRPr="00D62DE8" w:rsidRDefault="008E5A6F" w:rsidP="00E0716D">
      <w:pPr>
        <w:jc w:val="center"/>
        <w:rPr>
          <w:i/>
          <w:iCs/>
          <w:lang w:val="pl-PL"/>
        </w:rPr>
      </w:pPr>
      <w:r w:rsidRPr="00D62DE8">
        <w:rPr>
          <w:i/>
          <w:iCs/>
          <w:lang w:val="pl-PL"/>
        </w:rPr>
        <w:t xml:space="preserve">Tamka 12, 91-403 </w:t>
      </w:r>
      <w:proofErr w:type="spellStart"/>
      <w:r w:rsidRPr="00D62DE8">
        <w:rPr>
          <w:i/>
          <w:iCs/>
          <w:lang w:val="pl-PL"/>
        </w:rPr>
        <w:t>Lodz</w:t>
      </w:r>
      <w:proofErr w:type="spellEnd"/>
      <w:r w:rsidRPr="00D62DE8">
        <w:rPr>
          <w:i/>
          <w:iCs/>
          <w:lang w:val="pl-PL"/>
        </w:rPr>
        <w:t>, Poland</w:t>
      </w:r>
    </w:p>
    <w:p w14:paraId="02DC40FC" w14:textId="6D224850" w:rsidR="008E5A6F" w:rsidRDefault="00D62DE8" w:rsidP="00E0716D">
      <w:pPr>
        <w:jc w:val="center"/>
        <w:rPr>
          <w:i/>
          <w:iCs/>
        </w:rPr>
      </w:pPr>
      <w:r w:rsidRPr="00D62DE8">
        <w:rPr>
          <w:i/>
          <w:iCs/>
          <w:vertAlign w:val="superscript"/>
        </w:rPr>
        <w:t>2</w:t>
      </w:r>
      <w:r w:rsidRPr="00D62DE8">
        <w:rPr>
          <w:i/>
          <w:iCs/>
        </w:rPr>
        <w:t>Faculty of Engineering and Computer Science</w:t>
      </w:r>
      <w:r>
        <w:rPr>
          <w:i/>
          <w:iCs/>
        </w:rPr>
        <w:t xml:space="preserve">, </w:t>
      </w:r>
      <w:r w:rsidRPr="00D62DE8">
        <w:rPr>
          <w:i/>
          <w:iCs/>
        </w:rPr>
        <w:t>University of Humanities and Economics in Lodz</w:t>
      </w:r>
      <w:r>
        <w:rPr>
          <w:i/>
          <w:iCs/>
        </w:rPr>
        <w:t>, Poland</w:t>
      </w:r>
    </w:p>
    <w:p w14:paraId="07A69B6F" w14:textId="08A694AE" w:rsidR="00D62DE8" w:rsidRPr="00D62DE8" w:rsidRDefault="00D62DE8" w:rsidP="00E0716D">
      <w:pPr>
        <w:jc w:val="center"/>
        <w:rPr>
          <w:i/>
          <w:iCs/>
        </w:rPr>
      </w:pPr>
      <w:proofErr w:type="spellStart"/>
      <w:r w:rsidRPr="00D62DE8">
        <w:rPr>
          <w:i/>
          <w:iCs/>
        </w:rPr>
        <w:t>Sterlinga</w:t>
      </w:r>
      <w:proofErr w:type="spellEnd"/>
      <w:r>
        <w:rPr>
          <w:i/>
          <w:iCs/>
        </w:rPr>
        <w:t xml:space="preserve"> 26</w:t>
      </w:r>
      <w:r w:rsidRPr="00D62DE8">
        <w:rPr>
          <w:i/>
          <w:iCs/>
        </w:rPr>
        <w:t>, 90-212</w:t>
      </w:r>
      <w:r>
        <w:rPr>
          <w:i/>
          <w:iCs/>
        </w:rPr>
        <w:t xml:space="preserve"> Lodz</w:t>
      </w:r>
      <w:r w:rsidRPr="00D62DE8">
        <w:rPr>
          <w:i/>
          <w:iCs/>
        </w:rPr>
        <w:t>, Poland.</w:t>
      </w:r>
    </w:p>
    <w:p w14:paraId="178C67CC" w14:textId="6E5547E5" w:rsidR="00685C1A" w:rsidRPr="00D62DE8" w:rsidRDefault="008473E6" w:rsidP="00E0716D">
      <w:pPr>
        <w:jc w:val="center"/>
        <w:rPr>
          <w:i/>
        </w:rPr>
      </w:pPr>
      <w:r w:rsidRPr="00D62DE8">
        <w:rPr>
          <w:i/>
        </w:rPr>
        <w:t>karolina.kwaczynski@chemia.uni.lodz.pl</w:t>
      </w:r>
    </w:p>
    <w:p w14:paraId="0076A8B9" w14:textId="77777777" w:rsidR="00325004" w:rsidRPr="00D62DE8" w:rsidRDefault="00325004" w:rsidP="00E0716D">
      <w:pPr>
        <w:jc w:val="center"/>
      </w:pPr>
    </w:p>
    <w:p w14:paraId="069E6897" w14:textId="48E9D684" w:rsidR="00C52F4A" w:rsidRDefault="00C52F4A" w:rsidP="00C52F4A">
      <w:pPr>
        <w:jc w:val="both"/>
      </w:pPr>
      <w:r w:rsidRPr="00C52F4A">
        <w:t>Amphetamine</w:t>
      </w:r>
      <w:r>
        <w:t xml:space="preserve"> (Fig. 1)</w:t>
      </w:r>
      <w:r w:rsidRPr="00C52F4A">
        <w:t xml:space="preserve"> is among the most prevalent synthetic stimulants on the European illicit drug market</w:t>
      </w:r>
      <w:r w:rsidR="008E5A6F">
        <w:t xml:space="preserve"> [1]</w:t>
      </w:r>
      <w:r w:rsidRPr="00C52F4A">
        <w:t>. Street samples are frequently adulterated with substances such as caffeine and paracetamol, which complicates their rapid and reliable analytical identification. Therefore, there is a growing demand for selective and rapid methods for amphetamine determination in real-world samples.</w:t>
      </w:r>
    </w:p>
    <w:p w14:paraId="7716A091" w14:textId="77777777" w:rsidR="008E5A6F" w:rsidRPr="00EE6EBC" w:rsidRDefault="008E5A6F" w:rsidP="008E5A6F">
      <w:pPr>
        <w:jc w:val="center"/>
        <w:rPr>
          <w:rFonts w:ascii="Calibri" w:eastAsia="Yu Mincho" w:hAnsi="Calibri" w:cs="Calibri"/>
          <w:color w:val="000000"/>
        </w:rPr>
      </w:pPr>
      <w:r w:rsidRPr="00EE6EBC">
        <w:rPr>
          <w:rFonts w:ascii="Calibri" w:hAnsi="Calibri" w:cs="Calibri"/>
          <w:noProof/>
        </w:rPr>
        <w:drawing>
          <wp:inline distT="0" distB="0" distL="0" distR="0" wp14:anchorId="317450B2" wp14:editId="4940B7B9">
            <wp:extent cx="1700900" cy="939445"/>
            <wp:effectExtent l="0" t="0" r="0" b="0"/>
            <wp:docPr id="391301560" name="Picture 1" descr="The image depicts a simple chemical structure representing the molecule nitrogen (NH2).&#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01560" name="Picture 1" descr="The image depicts a simple chemical structure representing the molecule nitrogen (NH2).&#10;&#10;Zawartość wygenerowana przez AI może być niepoprawna."/>
                    <pic:cNvPicPr>
                      <a:picLocks noChangeAspect="1" noChangeArrowheads="1"/>
                    </pic:cNvPicPr>
                  </pic:nvPicPr>
                  <pic:blipFill rotWithShape="1">
                    <a:blip r:embed="rId4">
                      <a:extLst>
                        <a:ext uri="{BEBA8EAE-BF5A-486C-A8C5-ECC9F3942E4B}">
                          <a14:imgProps xmlns:a14="http://schemas.microsoft.com/office/drawing/2010/main">
                            <a14:imgLayer r:embed="rId5">
                              <a14:imgEffect>
                                <a14:brightnessContrast bright="40000"/>
                              </a14:imgEffect>
                            </a14:imgLayer>
                          </a14:imgProps>
                        </a:ext>
                      </a:extLst>
                    </a:blip>
                    <a:srcRect l="3524" r="2467"/>
                    <a:stretch>
                      <a:fillRect/>
                    </a:stretch>
                  </pic:blipFill>
                  <pic:spPr bwMode="auto">
                    <a:xfrm>
                      <a:off x="0" y="0"/>
                      <a:ext cx="1729225" cy="955090"/>
                    </a:xfrm>
                    <a:prstGeom prst="rect">
                      <a:avLst/>
                    </a:prstGeom>
                    <a:noFill/>
                    <a:ln>
                      <a:noFill/>
                    </a:ln>
                    <a:extLst>
                      <a:ext uri="{53640926-AAD7-44D8-BBD7-CCE9431645EC}">
                        <a14:shadowObscured xmlns:a14="http://schemas.microsoft.com/office/drawing/2010/main"/>
                      </a:ext>
                    </a:extLst>
                  </pic:spPr>
                </pic:pic>
              </a:graphicData>
            </a:graphic>
          </wp:inline>
        </w:drawing>
      </w:r>
    </w:p>
    <w:p w14:paraId="3A1ACE97" w14:textId="77777777" w:rsidR="008E5A6F" w:rsidRPr="008E5A6F" w:rsidRDefault="008E5A6F" w:rsidP="008E5A6F">
      <w:pPr>
        <w:spacing w:after="120"/>
        <w:jc w:val="center"/>
        <w:rPr>
          <w:rFonts w:eastAsia="Yu Mincho"/>
          <w:i/>
          <w:iCs/>
          <w:color w:val="000000"/>
        </w:rPr>
      </w:pPr>
      <w:r w:rsidRPr="008E5A6F">
        <w:rPr>
          <w:rFonts w:eastAsia="Yu Mincho"/>
          <w:i/>
          <w:iCs/>
          <w:color w:val="000000"/>
        </w:rPr>
        <w:t xml:space="preserve">Fig. 1: Chemical structure of amphetamine. </w:t>
      </w:r>
    </w:p>
    <w:p w14:paraId="53A9EA70" w14:textId="77D03109" w:rsidR="008E5A6F" w:rsidRDefault="00C52F4A" w:rsidP="00C52F4A">
      <w:pPr>
        <w:jc w:val="both"/>
      </w:pPr>
      <w:r w:rsidRPr="00C52F4A">
        <w:t xml:space="preserve">In this work, we present a novel method for amphetamine determination based on ion transfer across a polarized interface between two immiscible liquid phases. Unlike conventional electroanalytical approaches that employ solid electrodes </w:t>
      </w:r>
      <w:r w:rsidR="008E5A6F" w:rsidRPr="008E5A6F">
        <w:t>(e.g., boron-doped diamond at ~1.7 V oxidation potentials [2] or derivatized screen-printed electrodes [3]), our approach harnesses interfacial ion transfer, bypassing redox reactions altogether.</w:t>
      </w:r>
      <w:r w:rsidR="008E5A6F">
        <w:t xml:space="preserve"> </w:t>
      </w:r>
    </w:p>
    <w:p w14:paraId="72D69751" w14:textId="6D14D7DB" w:rsidR="00C52F4A" w:rsidRPr="00C52F4A" w:rsidRDefault="00C52F4A" w:rsidP="00C52F4A">
      <w:pPr>
        <w:jc w:val="both"/>
      </w:pPr>
      <w:r w:rsidRPr="00C52F4A">
        <w:t xml:space="preserve">The developed method enables direct amphetamine determination with a limit of detection of approximately 1 µM. </w:t>
      </w:r>
      <w:r w:rsidR="008E5A6F" w:rsidRPr="008E5A6F">
        <w:t>Additionally, a Python code was developed to enable automated identification of amphetamine in the analyzed samples.</w:t>
      </w:r>
      <w:r w:rsidR="008E5A6F">
        <w:t xml:space="preserve"> </w:t>
      </w:r>
      <w:r w:rsidR="008E5A6F" w:rsidRPr="008E5A6F">
        <w:t>The implemented algorithm is based on the analysis of voltammograms recorded in the presence of a model ion serving as an internal reference standard.</w:t>
      </w:r>
      <w:r w:rsidRPr="00C52F4A">
        <w:t xml:space="preserve"> The analytical performance of the proposed approach was evaluated using nearly 300 street samples seized by law enforcement agencies. The obtained results showed good agreement with reference chromatographic analyses, confirming the potential of the method for routine forensic applications.</w:t>
      </w:r>
    </w:p>
    <w:p w14:paraId="2D77E3E1" w14:textId="77777777" w:rsidR="00C52F4A" w:rsidRDefault="00C52F4A" w:rsidP="00C52F4A">
      <w:pPr>
        <w:jc w:val="both"/>
      </w:pPr>
      <w:r w:rsidRPr="00C52F4A">
        <w:t>In parallel, efforts are being made to extend the analytical platform with a colorimetric response. Combining electrochemical detection with a simple visual readout may lead to the development of a dual-response sensing system, integrating the analytical reliability of electrochemical measurements with the intuitive interpretation offered by conventional color-based drug tests.</w:t>
      </w:r>
    </w:p>
    <w:p w14:paraId="16297D8B" w14:textId="77777777" w:rsidR="008E5A6F" w:rsidRDefault="008E5A6F" w:rsidP="00C52F4A">
      <w:pPr>
        <w:jc w:val="both"/>
      </w:pPr>
    </w:p>
    <w:p w14:paraId="2FBA9651" w14:textId="77777777" w:rsidR="008E5A6F" w:rsidRPr="008E5A6F" w:rsidRDefault="008E5A6F" w:rsidP="008E5A6F">
      <w:pPr>
        <w:jc w:val="both"/>
        <w:rPr>
          <w:lang w:val="en-GB"/>
        </w:rPr>
      </w:pPr>
      <w:r w:rsidRPr="008E5A6F">
        <w:rPr>
          <w:lang w:val="en-GB"/>
        </w:rPr>
        <w:t>References</w:t>
      </w:r>
    </w:p>
    <w:p w14:paraId="242572BA" w14:textId="1F4E58CE" w:rsidR="008E5A6F" w:rsidRPr="008E5A6F" w:rsidRDefault="008E5A6F" w:rsidP="008E5A6F">
      <w:pPr>
        <w:rPr>
          <w:lang w:val="en-GB"/>
        </w:rPr>
      </w:pPr>
      <w:r w:rsidRPr="008E5A6F">
        <w:rPr>
          <w:lang w:val="en-GB"/>
        </w:rPr>
        <w:t>[1]</w:t>
      </w:r>
      <w:r>
        <w:rPr>
          <w:lang w:val="en-GB"/>
        </w:rPr>
        <w:t xml:space="preserve"> </w:t>
      </w:r>
      <w:hyperlink r:id="rId6" w:history="1">
        <w:r w:rsidRPr="004D0C87">
          <w:rPr>
            <w:rStyle w:val="Hipercze"/>
            <w:lang w:val="en-GB"/>
          </w:rPr>
          <w:t>https://www.euda.europa.eu/publications/european-drug-report/2025/synthetic-stimulants_en</w:t>
        </w:r>
      </w:hyperlink>
      <w:r>
        <w:rPr>
          <w:lang w:val="en-GB"/>
        </w:rPr>
        <w:t xml:space="preserve"> E</w:t>
      </w:r>
      <w:r w:rsidRPr="008E5A6F">
        <w:rPr>
          <w:lang w:val="en-GB"/>
        </w:rPr>
        <w:t>uropean Drug Report 2025</w:t>
      </w:r>
      <w:r>
        <w:rPr>
          <w:lang w:val="en-GB"/>
        </w:rPr>
        <w:t>.</w:t>
      </w:r>
    </w:p>
    <w:p w14:paraId="4BAF001E" w14:textId="77777777" w:rsidR="008E5A6F" w:rsidRPr="008E5A6F" w:rsidRDefault="008E5A6F" w:rsidP="008E5A6F">
      <w:pPr>
        <w:jc w:val="both"/>
        <w:rPr>
          <w:lang w:val="en-GB"/>
        </w:rPr>
      </w:pPr>
      <w:r w:rsidRPr="008E5A6F">
        <w:rPr>
          <w:lang w:val="en-GB"/>
        </w:rPr>
        <w:t xml:space="preserve">[2] K. R. Teófilo, L. C. Arantes, P. A. Marinho, A. A. Macedo, D. M. Pimentel, D. P. Rocha, A. C. de Oliveira, E. M. Richter, R. A. A. Munoz, W. T. P. dos Santos, Microchemical Journal, 2020, 157, 105088. </w:t>
      </w:r>
    </w:p>
    <w:p w14:paraId="13A461BB" w14:textId="77777777" w:rsidR="008E5A6F" w:rsidRPr="008E5A6F" w:rsidRDefault="008E5A6F" w:rsidP="008E5A6F">
      <w:pPr>
        <w:jc w:val="both"/>
        <w:rPr>
          <w:lang w:val="en-GB"/>
        </w:rPr>
      </w:pPr>
      <w:r w:rsidRPr="008E5A6F">
        <w:rPr>
          <w:lang w:val="en-GB"/>
        </w:rPr>
        <w:t>[3] M. Parrilla, N. F. Montiel, F. Van Durme, K. De Wael, Sensors and Actuators B: Chemical, 2021, 337, 129819.</w:t>
      </w:r>
    </w:p>
    <w:p w14:paraId="24460CD1" w14:textId="77777777" w:rsidR="008E5A6F" w:rsidRPr="008E5A6F" w:rsidRDefault="008E5A6F" w:rsidP="008E5A6F">
      <w:pPr>
        <w:jc w:val="both"/>
        <w:rPr>
          <w:lang w:val="en-GB"/>
        </w:rPr>
      </w:pPr>
    </w:p>
    <w:p w14:paraId="2E666526" w14:textId="77777777" w:rsidR="008E5A6F" w:rsidRPr="008E5A6F" w:rsidRDefault="008E5A6F" w:rsidP="008E5A6F">
      <w:pPr>
        <w:jc w:val="both"/>
        <w:rPr>
          <w:lang w:val="en-GB"/>
        </w:rPr>
      </w:pPr>
      <w:r w:rsidRPr="008E5A6F">
        <w:rPr>
          <w:lang w:val="en-GB"/>
        </w:rPr>
        <w:t>Acknowledgments</w:t>
      </w:r>
    </w:p>
    <w:p w14:paraId="301D1658" w14:textId="294337A0" w:rsidR="008E5A6F" w:rsidRPr="008E5A6F" w:rsidRDefault="008E5A6F" w:rsidP="008E5A6F">
      <w:pPr>
        <w:jc w:val="both"/>
        <w:rPr>
          <w:lang w:val="en-GB"/>
        </w:rPr>
      </w:pPr>
      <w:r w:rsidRPr="008E5A6F">
        <w:rPr>
          <w:lang w:val="en-GB"/>
        </w:rPr>
        <w:t xml:space="preserve">The authors are grateful to National Science Centre in Krakow, Poland for financing this work: projects 2022/47/D/ST5/02523 (colorimetric detection); 2024/55/B/ST4/01947 (electroanalysis of amphetamine at </w:t>
      </w:r>
      <w:proofErr w:type="spellStart"/>
      <w:r w:rsidRPr="008E5A6F">
        <w:rPr>
          <w:lang w:val="en-GB"/>
        </w:rPr>
        <w:t>eLLI</w:t>
      </w:r>
      <w:proofErr w:type="spellEnd"/>
      <w:r w:rsidRPr="008E5A6F">
        <w:rPr>
          <w:lang w:val="en-GB"/>
        </w:rPr>
        <w:t>).</w:t>
      </w:r>
    </w:p>
    <w:p w14:paraId="0DE3D5E6" w14:textId="77777777" w:rsidR="00E0716D" w:rsidRDefault="00E0716D" w:rsidP="00E0716D">
      <w:pPr>
        <w:jc w:val="both"/>
      </w:pPr>
    </w:p>
    <w:p w14:paraId="11E6907A" w14:textId="77777777" w:rsidR="00325004" w:rsidRDefault="00325004" w:rsidP="00E0716D">
      <w:pPr>
        <w:jc w:val="both"/>
      </w:pPr>
    </w:p>
    <w:p w14:paraId="55415D41" w14:textId="77777777" w:rsidR="00325004" w:rsidRDefault="00325004" w:rsidP="00E0716D">
      <w:pPr>
        <w:jc w:val="both"/>
      </w:pPr>
    </w:p>
    <w:p w14:paraId="47A364A6"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536366"/>
    <w:rsid w:val="00685C1A"/>
    <w:rsid w:val="006F7D00"/>
    <w:rsid w:val="008473E6"/>
    <w:rsid w:val="008E5A6F"/>
    <w:rsid w:val="00C3120C"/>
    <w:rsid w:val="00C52F4A"/>
    <w:rsid w:val="00D62DE8"/>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33D610"/>
  <w14:defaultImageDpi w14:val="300"/>
  <w15:docId w15:val="{93BBD71B-978F-4A79-A38B-B4CFB96F5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E5A6F"/>
    <w:rPr>
      <w:color w:val="0000FF" w:themeColor="hyperlink"/>
      <w:u w:val="single"/>
    </w:rPr>
  </w:style>
  <w:style w:type="character" w:styleId="Nierozpoznanawzmianka">
    <w:name w:val="Unresolved Mention"/>
    <w:basedOn w:val="Domylnaczcionkaakapitu"/>
    <w:uiPriority w:val="99"/>
    <w:semiHidden/>
    <w:unhideWhenUsed/>
    <w:rsid w:val="008E5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uda.europa.eu/publications/european-drug-report/2025/synthetic-stimulants_en" TargetMode="Externa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457</Words>
  <Characters>2744</Characters>
  <Application>Microsoft Office Word</Application>
  <DocSecurity>0</DocSecurity>
  <Lines>22</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Karolina Kwaczyński</cp:lastModifiedBy>
  <cp:revision>4</cp:revision>
  <cp:lastPrinted>2013-10-21T12:07:00Z</cp:lastPrinted>
  <dcterms:created xsi:type="dcterms:W3CDTF">2026-06-01T21:11:00Z</dcterms:created>
  <dcterms:modified xsi:type="dcterms:W3CDTF">2026-06-01T21:33:00Z</dcterms:modified>
</cp:coreProperties>
</file>