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5A3DC" w14:textId="41E8B70F" w:rsidR="003A7BB6" w:rsidRDefault="003A7BB6" w:rsidP="00E0716D">
      <w:pPr>
        <w:jc w:val="center"/>
        <w:rPr>
          <w:b/>
          <w:sz w:val="28"/>
        </w:rPr>
      </w:pPr>
      <w:r w:rsidRPr="003A7BB6">
        <w:rPr>
          <w:b/>
          <w:sz w:val="28"/>
        </w:rPr>
        <w:t>From Self-Organized Anodic Nanostructures to Functional Electrified Interfaces: Understanding Formation Pathways and Engineering Material Complexity</w:t>
      </w:r>
    </w:p>
    <w:p w14:paraId="792435C7" w14:textId="77777777" w:rsidR="005E766F" w:rsidRDefault="005E766F" w:rsidP="00E0716D">
      <w:pPr>
        <w:jc w:val="center"/>
        <w:rPr>
          <w:b/>
          <w:sz w:val="28"/>
        </w:rPr>
      </w:pPr>
    </w:p>
    <w:p w14:paraId="104D9623" w14:textId="63824094" w:rsidR="00325004" w:rsidRDefault="005E766F" w:rsidP="00E0716D">
      <w:pPr>
        <w:jc w:val="center"/>
      </w:pPr>
      <w:r>
        <w:rPr>
          <w:u w:val="single"/>
        </w:rPr>
        <w:t>Grzegorz D. Sulka</w:t>
      </w:r>
    </w:p>
    <w:p w14:paraId="7F7595A5" w14:textId="75A87A32" w:rsidR="005E766F" w:rsidRDefault="00EC7F7B" w:rsidP="00E0716D">
      <w:pPr>
        <w:jc w:val="center"/>
        <w:rPr>
          <w:i/>
        </w:rPr>
      </w:pPr>
      <w:r>
        <w:rPr>
          <w:i/>
        </w:rPr>
        <w:t xml:space="preserve">Department of Physical Chemistry and Electrochemistry, </w:t>
      </w:r>
      <w:r w:rsidR="005E766F" w:rsidRPr="005E766F">
        <w:rPr>
          <w:i/>
        </w:rPr>
        <w:t xml:space="preserve">Faculty of Chemistry, Jagiellonian University </w:t>
      </w:r>
    </w:p>
    <w:p w14:paraId="1CB487DF" w14:textId="0CD0B556" w:rsidR="00325004" w:rsidRDefault="00EC7F7B" w:rsidP="00E0716D">
      <w:pPr>
        <w:jc w:val="center"/>
      </w:pPr>
      <w:r>
        <w:rPr>
          <w:i/>
        </w:rPr>
        <w:t>Gronostajowa 2, 30-387 Krakow, Poland</w:t>
      </w:r>
    </w:p>
    <w:p w14:paraId="54CD2A50" w14:textId="09C4F1F0" w:rsidR="00685C1A" w:rsidRPr="00685C1A" w:rsidRDefault="005E766F" w:rsidP="00E0716D">
      <w:pPr>
        <w:jc w:val="center"/>
        <w:rPr>
          <w:i/>
        </w:rPr>
      </w:pPr>
      <w:r>
        <w:rPr>
          <w:i/>
        </w:rPr>
        <w:t>sulka@chemia.uj.edu.pl</w:t>
      </w:r>
    </w:p>
    <w:p w14:paraId="5AC178EC" w14:textId="77777777" w:rsidR="00CC0DD9" w:rsidRDefault="00CC0DD9" w:rsidP="003A7BB6">
      <w:pPr>
        <w:jc w:val="both"/>
      </w:pPr>
    </w:p>
    <w:p w14:paraId="63F39986" w14:textId="6E2B2671" w:rsidR="00CC0DD9" w:rsidRDefault="00CC0DD9" w:rsidP="00CC0DD9">
      <w:pPr>
        <w:jc w:val="both"/>
      </w:pPr>
      <w:r>
        <w:t>Electrochemical interfaces are highly dynamic systems whose structure and properties continuously evolve during material synthesis and operation. Understanding the mechanisms governing the formation of nanostructured materials at electrified interfaces remains essential for designing advanced functional systems with tailored properties. In particular, self-organized anodization processes provide a versatile route toward controlled fabrication of ordered nanoporous and nanotubular metal oxide architectures (e.g., Al</w:t>
      </w:r>
      <w:r w:rsidRPr="00CC0DD9">
        <w:rPr>
          <w:vertAlign w:val="subscript"/>
        </w:rPr>
        <w:t>2</w:t>
      </w:r>
      <w:r>
        <w:t>O</w:t>
      </w:r>
      <w:r w:rsidRPr="00CC0DD9">
        <w:rPr>
          <w:vertAlign w:val="subscript"/>
        </w:rPr>
        <w:t>3</w:t>
      </w:r>
      <w:r>
        <w:t>, TiO</w:t>
      </w:r>
      <w:r w:rsidRPr="00CC0DD9">
        <w:rPr>
          <w:vertAlign w:val="subscript"/>
        </w:rPr>
        <w:t>2</w:t>
      </w:r>
      <w:r>
        <w:t>, WO</w:t>
      </w:r>
      <w:r w:rsidRPr="00CC0DD9">
        <w:rPr>
          <w:vertAlign w:val="subscript"/>
        </w:rPr>
        <w:t>3</w:t>
      </w:r>
      <w:r>
        <w:t>, SnO</w:t>
      </w:r>
      <w:r w:rsidRPr="00CC0DD9">
        <w:rPr>
          <w:vertAlign w:val="subscript"/>
        </w:rPr>
        <w:t>2</w:t>
      </w:r>
      <w:r>
        <w:t>, ZnO, ZrO</w:t>
      </w:r>
      <w:r w:rsidRPr="00CC0DD9">
        <w:rPr>
          <w:vertAlign w:val="subscript"/>
        </w:rPr>
        <w:t>2</w:t>
      </w:r>
      <w:r>
        <w:t>) with tunable geometry, composition, and physicochemical characteristics</w:t>
      </w:r>
      <w:r w:rsidR="00574DCF">
        <w:t xml:space="preserve"> (1)</w:t>
      </w:r>
      <w:r>
        <w:t>.</w:t>
      </w:r>
    </w:p>
    <w:p w14:paraId="1355931B" w14:textId="77777777" w:rsidR="00CC0DD9" w:rsidRDefault="00CC0DD9" w:rsidP="00CC0DD9">
      <w:pPr>
        <w:jc w:val="both"/>
      </w:pPr>
    </w:p>
    <w:p w14:paraId="54F93C16" w14:textId="508B1F34" w:rsidR="00CC0DD9" w:rsidRDefault="00CC0DD9" w:rsidP="00CC0DD9">
      <w:pPr>
        <w:jc w:val="both"/>
      </w:pPr>
      <w:r>
        <w:t>Nanoporous anodic aluminum oxide (AAO), obtained via electrochemical oxidation of aluminum in acidic electrolytes, represents one of the most important template systems for the fabrication of a wide range of functional nanostructures. AAO membranes enable the formation of highly ordered arrays of nanowires, nanotubes, and nanocones composed of metals, semiconductors, and polymers. Such nanostructured architectures have found broad applications in energy storage systems, thermoelectric materials, electrocatalysis, and chemical sensing. In parallel, self-organized anodic semiconductor oxides such as TiO</w:t>
      </w:r>
      <w:r w:rsidRPr="00CC0DD9">
        <w:rPr>
          <w:vertAlign w:val="subscript"/>
        </w:rPr>
        <w:t>2</w:t>
      </w:r>
      <w:r>
        <w:t>, WO</w:t>
      </w:r>
      <w:r w:rsidRPr="00CC0DD9">
        <w:rPr>
          <w:vertAlign w:val="subscript"/>
        </w:rPr>
        <w:t>3</w:t>
      </w:r>
      <w:r>
        <w:t>, and SnO</w:t>
      </w:r>
      <w:r w:rsidRPr="00CC0DD9">
        <w:rPr>
          <w:vertAlign w:val="subscript"/>
        </w:rPr>
        <w:t>2</w:t>
      </w:r>
      <w:r>
        <w:t xml:space="preserve"> have emerged as highly promising materials for clean energy technologies, including photoelectrochemical water splitting, hydrogen evolution, and photocatalysis, owing to their controllable morphology and favorable interfacial properties</w:t>
      </w:r>
      <w:r w:rsidR="002E0831">
        <w:t xml:space="preserve"> (2)</w:t>
      </w:r>
      <w:r>
        <w:t>.</w:t>
      </w:r>
    </w:p>
    <w:p w14:paraId="78830A8E" w14:textId="77777777" w:rsidR="00CC0DD9" w:rsidRDefault="00CC0DD9" w:rsidP="00CC0DD9">
      <w:pPr>
        <w:jc w:val="both"/>
      </w:pPr>
    </w:p>
    <w:p w14:paraId="5638DF5F" w14:textId="493A3A09" w:rsidR="00CC0DD9" w:rsidRDefault="00CC0DD9" w:rsidP="00CC0DD9">
      <w:pPr>
        <w:jc w:val="both"/>
      </w:pPr>
      <w:r>
        <w:t>This lecture will further discuss how electrochemical and related synthetic strategies enable the design of a broad class of functional materials, ranging from nanoporous and nanotubular anodic oxide systems, through composite</w:t>
      </w:r>
      <w:r w:rsidR="00606C0D">
        <w:t>, doped semiconductors</w:t>
      </w:r>
      <w:r>
        <w:t xml:space="preserve"> and semiconductor heterojunction architectures (e.g., WO</w:t>
      </w:r>
      <w:r w:rsidR="00606C0D" w:rsidRPr="00606C0D">
        <w:rPr>
          <w:vertAlign w:val="subscript"/>
        </w:rPr>
        <w:t>3</w:t>
      </w:r>
      <w:r>
        <w:t>/FeWO</w:t>
      </w:r>
      <w:r w:rsidR="00606C0D" w:rsidRPr="00606C0D">
        <w:rPr>
          <w:vertAlign w:val="subscript"/>
        </w:rPr>
        <w:t>4</w:t>
      </w:r>
      <w:r>
        <w:t>, WO</w:t>
      </w:r>
      <w:r w:rsidR="00606C0D" w:rsidRPr="00606C0D">
        <w:rPr>
          <w:vertAlign w:val="subscript"/>
        </w:rPr>
        <w:t>3</w:t>
      </w:r>
      <w:r>
        <w:t>–SeO</w:t>
      </w:r>
      <w:r w:rsidR="00606C0D" w:rsidRPr="00606C0D">
        <w:rPr>
          <w:vertAlign w:val="subscript"/>
        </w:rPr>
        <w:t>2</w:t>
      </w:r>
      <w:r>
        <w:t>–CuO, WO</w:t>
      </w:r>
      <w:r w:rsidR="00606C0D" w:rsidRPr="00606C0D">
        <w:rPr>
          <w:vertAlign w:val="subscript"/>
        </w:rPr>
        <w:t>3</w:t>
      </w:r>
      <w:r>
        <w:t>/CuWO</w:t>
      </w:r>
      <w:r w:rsidR="00606C0D" w:rsidRPr="00606C0D">
        <w:rPr>
          <w:vertAlign w:val="subscript"/>
        </w:rPr>
        <w:t>4</w:t>
      </w:r>
      <w:r>
        <w:t xml:space="preserve"> and related interfaces), to compositionally complex metallic systems such as high-entropy alloys (HEAs) for electrocatalytic applications</w:t>
      </w:r>
      <w:r w:rsidR="00726AB7">
        <w:t xml:space="preserve"> (3-6)</w:t>
      </w:r>
      <w:r>
        <w:t>. These material classes illustrate how deliberate control over structure, composition, and interfacial organization enables tuning of charge transport, surface reactivity, and overall functional performance in energy-related applications.</w:t>
      </w:r>
    </w:p>
    <w:p w14:paraId="5EDE2E08" w14:textId="77777777" w:rsidR="00CC0DD9" w:rsidRDefault="00CC0DD9" w:rsidP="00CC0DD9">
      <w:pPr>
        <w:jc w:val="both"/>
      </w:pPr>
    </w:p>
    <w:p w14:paraId="6A4463C6" w14:textId="53FB036B" w:rsidR="00CC0DD9" w:rsidRDefault="00CC0DD9" w:rsidP="00CC0DD9">
      <w:pPr>
        <w:jc w:val="both"/>
      </w:pPr>
      <w:r>
        <w:t>The synergy between nanoscale engineering and compositional complexity, supported by comprehensive structural, morphological, and spectroscopic characterization</w:t>
      </w:r>
      <w:r w:rsidR="00350E11">
        <w:t>s</w:t>
      </w:r>
      <w:r>
        <w:t>, provides a powerful framework for understanding structure–property relationships in advanced catalytic systems. This integrated approach not only enables the rational design of efficient materials for hydrogen production and other electrochemical energy conversion processes but also points toward emerging directions in the development of durable and multifunctional electro- and photoelectrocatalytic interfaces.</w:t>
      </w:r>
    </w:p>
    <w:p w14:paraId="451ED741" w14:textId="77777777" w:rsidR="00CC0DD9" w:rsidRDefault="00CC0DD9" w:rsidP="003A7BB6">
      <w:pPr>
        <w:jc w:val="both"/>
      </w:pPr>
    </w:p>
    <w:p w14:paraId="3DEB921E" w14:textId="5522294D" w:rsidR="00CC0DD9" w:rsidRPr="00606C0D" w:rsidRDefault="00606C0D" w:rsidP="003A7BB6">
      <w:pPr>
        <w:jc w:val="both"/>
        <w:rPr>
          <w:b/>
          <w:bCs/>
        </w:rPr>
      </w:pPr>
      <w:r w:rsidRPr="00606C0D">
        <w:rPr>
          <w:b/>
          <w:bCs/>
        </w:rPr>
        <w:t>References</w:t>
      </w:r>
    </w:p>
    <w:p w14:paraId="796E2807" w14:textId="10C3ED59" w:rsidR="00CC0DD9" w:rsidRDefault="00574DCF" w:rsidP="002E0831">
      <w:pPr>
        <w:pStyle w:val="Akapitzlist"/>
        <w:numPr>
          <w:ilvl w:val="0"/>
          <w:numId w:val="1"/>
        </w:numPr>
        <w:ind w:left="426" w:hanging="284"/>
        <w:jc w:val="both"/>
      </w:pPr>
      <w:r w:rsidRPr="00574DCF">
        <w:t xml:space="preserve">G.D. Sulka, in: </w:t>
      </w:r>
      <w:r w:rsidRPr="002E0831">
        <w:rPr>
          <w:i/>
          <w:iCs/>
        </w:rPr>
        <w:t>Nanostructured Anodic Metal Oxides: Synthesis and Applications</w:t>
      </w:r>
      <w:r w:rsidRPr="00574DCF">
        <w:t>, G.D. Sulka (Ed.), Elsevier, 2020</w:t>
      </w:r>
      <w:r>
        <w:t>.</w:t>
      </w:r>
    </w:p>
    <w:p w14:paraId="1907411D" w14:textId="4A750A71" w:rsidR="002E0831" w:rsidRDefault="002E0831" w:rsidP="002E0831">
      <w:pPr>
        <w:pStyle w:val="Akapitzlist"/>
        <w:numPr>
          <w:ilvl w:val="0"/>
          <w:numId w:val="1"/>
        </w:numPr>
        <w:ind w:left="426" w:hanging="284"/>
        <w:jc w:val="both"/>
      </w:pPr>
      <w:r w:rsidRPr="002E0831">
        <w:t>K. Mika, K. Syrek, T. Uchacz, G.D. Sulka, L. Zaraska, Electrochim. Acta</w:t>
      </w:r>
      <w:r w:rsidR="00726AB7">
        <w:t>,</w:t>
      </w:r>
      <w:r w:rsidRPr="002E0831">
        <w:t xml:space="preserve"> 414 (2022) 140176</w:t>
      </w:r>
      <w:r>
        <w:t>.</w:t>
      </w:r>
    </w:p>
    <w:p w14:paraId="4CF5C144" w14:textId="59D13898" w:rsidR="00574DCF" w:rsidRDefault="00574DCF" w:rsidP="002E0831">
      <w:pPr>
        <w:pStyle w:val="Akapitzlist"/>
        <w:numPr>
          <w:ilvl w:val="0"/>
          <w:numId w:val="1"/>
        </w:numPr>
        <w:ind w:left="426" w:hanging="284"/>
        <w:jc w:val="both"/>
      </w:pPr>
      <w:r>
        <w:t>K. Syrek, S. Kotarba, M. Zych, M. Pisarek, T. Uchacz, K. Sobańska, Ł. Pięta, G.D. Sulka, ACS Appl. Mater. Interfaces</w:t>
      </w:r>
      <w:r w:rsidR="00726AB7">
        <w:t>,</w:t>
      </w:r>
      <w:r>
        <w:t xml:space="preserve"> 16 (2024) 36752-36762.</w:t>
      </w:r>
    </w:p>
    <w:p w14:paraId="695EC4B4" w14:textId="071E681F" w:rsidR="00574DCF" w:rsidRDefault="00574DCF" w:rsidP="002E0831">
      <w:pPr>
        <w:pStyle w:val="Akapitzlist"/>
        <w:numPr>
          <w:ilvl w:val="0"/>
          <w:numId w:val="1"/>
        </w:numPr>
        <w:ind w:left="426" w:hanging="284"/>
        <w:jc w:val="both"/>
      </w:pPr>
      <w:r>
        <w:t>P. Chatterjeea, D. Piecha, S. Kotarba, K. Syrek, M. Pisarek, G.D. Sulka, ACS Appl. Mater. Interfaces</w:t>
      </w:r>
      <w:r w:rsidR="00726AB7">
        <w:t>,</w:t>
      </w:r>
      <w:r>
        <w:t xml:space="preserve"> 17 (2025) </w:t>
      </w:r>
      <w:r w:rsidRPr="00574DCF">
        <w:t>30284-30296</w:t>
      </w:r>
      <w:r>
        <w:t>.</w:t>
      </w:r>
    </w:p>
    <w:p w14:paraId="526AF80A" w14:textId="77777777" w:rsidR="00574DCF" w:rsidRDefault="00574DCF" w:rsidP="002E0831">
      <w:pPr>
        <w:pStyle w:val="Akapitzlist"/>
        <w:numPr>
          <w:ilvl w:val="0"/>
          <w:numId w:val="1"/>
        </w:numPr>
        <w:ind w:left="426" w:hanging="284"/>
        <w:jc w:val="both"/>
      </w:pPr>
      <w:r>
        <w:t>K. Syrek, M. Zych, M. Pisarek, Ł. Gondek, M. Gurgul, R. Palowska, L. Liu, G.D. Sulka, J. Power Sources, 640 (2025) 236656.</w:t>
      </w:r>
    </w:p>
    <w:p w14:paraId="1BBB630F" w14:textId="348D2349" w:rsidR="00574DCF" w:rsidRDefault="00574DCF" w:rsidP="002E0831">
      <w:pPr>
        <w:pStyle w:val="Akapitzlist"/>
        <w:numPr>
          <w:ilvl w:val="0"/>
          <w:numId w:val="1"/>
        </w:numPr>
        <w:ind w:left="426" w:hanging="284"/>
        <w:jc w:val="both"/>
      </w:pPr>
      <w:r w:rsidRPr="00574DCF">
        <w:t>R. Aruldhas, P. Gopalan, D. Piecha, M. Szczerba, K. Nikiforow, G.D. Sulk</w:t>
      </w:r>
      <w:r>
        <w:t xml:space="preserve">a, </w:t>
      </w:r>
      <w:r w:rsidRPr="00574DCF">
        <w:t>J. Mater Chem. A</w:t>
      </w:r>
      <w:r w:rsidR="00726AB7">
        <w:t>,</w:t>
      </w:r>
      <w:r w:rsidRPr="00574DCF">
        <w:t xml:space="preserve"> 14 (2026) 4693-4708</w:t>
      </w:r>
      <w:r>
        <w:t>.</w:t>
      </w:r>
    </w:p>
    <w:p w14:paraId="6EC6C559"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14D5B"/>
    <w:multiLevelType w:val="hybridMultilevel"/>
    <w:tmpl w:val="DA8E3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3216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1C492E"/>
    <w:rsid w:val="002E0831"/>
    <w:rsid w:val="00325004"/>
    <w:rsid w:val="00350E11"/>
    <w:rsid w:val="003A7BB6"/>
    <w:rsid w:val="00536366"/>
    <w:rsid w:val="00574DCF"/>
    <w:rsid w:val="005E766F"/>
    <w:rsid w:val="00606C0D"/>
    <w:rsid w:val="00685C1A"/>
    <w:rsid w:val="007044B9"/>
    <w:rsid w:val="00726AB7"/>
    <w:rsid w:val="00851393"/>
    <w:rsid w:val="00986628"/>
    <w:rsid w:val="00BC7549"/>
    <w:rsid w:val="00C04941"/>
    <w:rsid w:val="00CC0DD9"/>
    <w:rsid w:val="00E0716D"/>
    <w:rsid w:val="00E25B9E"/>
    <w:rsid w:val="00EC7F7B"/>
    <w:rsid w:val="00F97641"/>
    <w:rsid w:val="00FC4D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3C9B07"/>
  <w14:defaultImageDpi w14:val="300"/>
  <w15:docId w15:val="{BF23BFB3-B04F-4EB4-9E8A-2C015436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74D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550</Words>
  <Characters>3304</Characters>
  <Application>Microsoft Office Word</Application>
  <DocSecurity>0</DocSecurity>
  <Lines>27</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Grzegorz Sulka</cp:lastModifiedBy>
  <cp:revision>11</cp:revision>
  <cp:lastPrinted>2013-10-21T12:07:00Z</cp:lastPrinted>
  <dcterms:created xsi:type="dcterms:W3CDTF">2021-03-10T13:20:00Z</dcterms:created>
  <dcterms:modified xsi:type="dcterms:W3CDTF">2026-05-28T09:10:00Z</dcterms:modified>
</cp:coreProperties>
</file>