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698A2" w14:textId="5912405A" w:rsidR="00325004" w:rsidRPr="00A86EB9" w:rsidRDefault="00D52CF4" w:rsidP="00E0716D">
      <w:pPr>
        <w:jc w:val="center"/>
        <w:rPr>
          <w:b/>
          <w:sz w:val="28"/>
        </w:rPr>
      </w:pPr>
      <w:r>
        <w:rPr>
          <w:b/>
          <w:sz w:val="28"/>
        </w:rPr>
        <w:t>Potentiodynamic Water Electrolysis</w:t>
      </w:r>
    </w:p>
    <w:p w14:paraId="51AA6C05" w14:textId="77777777" w:rsidR="00325004" w:rsidRPr="00A86EB9" w:rsidRDefault="00325004" w:rsidP="00E0716D">
      <w:pPr>
        <w:jc w:val="center"/>
        <w:rPr>
          <w:b/>
          <w:sz w:val="28"/>
        </w:rPr>
      </w:pPr>
    </w:p>
    <w:p w14:paraId="11FEEE9C" w14:textId="4765B55E" w:rsidR="00325004" w:rsidRPr="002F65F5" w:rsidRDefault="005B7BA1" w:rsidP="00E0716D">
      <w:pPr>
        <w:jc w:val="center"/>
        <w:rPr>
          <w:vertAlign w:val="superscript"/>
        </w:rPr>
      </w:pPr>
      <w:r w:rsidRPr="008B104E">
        <w:rPr>
          <w:u w:val="single"/>
        </w:rPr>
        <w:t>Molly Vitale-Sullivan</w:t>
      </w:r>
      <w:r w:rsidR="00325004" w:rsidRPr="008B104E">
        <w:t>,</w:t>
      </w:r>
      <w:r w:rsidR="002F65F5">
        <w:rPr>
          <w:vertAlign w:val="superscript"/>
        </w:rPr>
        <w:t>1</w:t>
      </w:r>
      <w:r w:rsidR="00325004" w:rsidRPr="008B104E">
        <w:t xml:space="preserve"> </w:t>
      </w:r>
      <w:r w:rsidRPr="008B104E">
        <w:t>Kaden Wheeler,</w:t>
      </w:r>
      <w:r w:rsidR="002F65F5">
        <w:rPr>
          <w:vertAlign w:val="superscript"/>
        </w:rPr>
        <w:t>2</w:t>
      </w:r>
      <w:r w:rsidR="002805CC">
        <w:t xml:space="preserve"> Kelly White,</w:t>
      </w:r>
      <w:r w:rsidR="002F65F5">
        <w:rPr>
          <w:vertAlign w:val="superscript"/>
        </w:rPr>
        <w:t>1</w:t>
      </w:r>
      <w:r w:rsidR="002805CC">
        <w:t xml:space="preserve"> </w:t>
      </w:r>
      <w:r w:rsidRPr="008B104E">
        <w:t>Kelsey A. Stoerzinger</w:t>
      </w:r>
      <w:r w:rsidR="002F65F5">
        <w:rPr>
          <w:vertAlign w:val="superscript"/>
        </w:rPr>
        <w:t>1</w:t>
      </w:r>
    </w:p>
    <w:p w14:paraId="3A28555B" w14:textId="48791895" w:rsidR="005B7BA1" w:rsidRPr="008B104E" w:rsidRDefault="002F65F5" w:rsidP="002F65F5">
      <w:pPr>
        <w:jc w:val="center"/>
        <w:rPr>
          <w:i/>
          <w:iCs/>
        </w:rPr>
      </w:pPr>
      <w:r>
        <w:rPr>
          <w:i/>
          <w:iCs/>
          <w:vertAlign w:val="superscript"/>
        </w:rPr>
        <w:t>1</w:t>
      </w:r>
      <w:r w:rsidR="005B7BA1" w:rsidRPr="008B104E">
        <w:rPr>
          <w:i/>
          <w:iCs/>
        </w:rPr>
        <w:t>University of Minnesota</w:t>
      </w:r>
    </w:p>
    <w:p w14:paraId="56F33C19" w14:textId="59F22954" w:rsidR="005B7BA1" w:rsidRDefault="005B7BA1" w:rsidP="002F65F5">
      <w:pPr>
        <w:jc w:val="center"/>
        <w:rPr>
          <w:i/>
          <w:iCs/>
        </w:rPr>
      </w:pPr>
      <w:r w:rsidRPr="008B104E">
        <w:rPr>
          <w:i/>
          <w:iCs/>
        </w:rPr>
        <w:t>421 Washington Ave. SE, 55455 Minneapolis, MN, USA</w:t>
      </w:r>
    </w:p>
    <w:p w14:paraId="53F6E7BF" w14:textId="59345A4D" w:rsidR="002F65F5" w:rsidRPr="008B104E" w:rsidRDefault="002F65F5" w:rsidP="002F65F5">
      <w:pPr>
        <w:jc w:val="center"/>
        <w:rPr>
          <w:i/>
          <w:iCs/>
        </w:rPr>
      </w:pPr>
      <w:r>
        <w:rPr>
          <w:i/>
          <w:iCs/>
          <w:vertAlign w:val="superscript"/>
        </w:rPr>
        <w:t>2</w:t>
      </w:r>
      <w:r>
        <w:rPr>
          <w:i/>
          <w:iCs/>
        </w:rPr>
        <w:t>Oregon State University</w:t>
      </w:r>
    </w:p>
    <w:p w14:paraId="4B1DD9D9" w14:textId="00FF7D36" w:rsidR="002F65F5" w:rsidRPr="008B104E" w:rsidRDefault="002F65F5" w:rsidP="002F65F5">
      <w:pPr>
        <w:jc w:val="center"/>
        <w:rPr>
          <w:i/>
          <w:iCs/>
        </w:rPr>
      </w:pPr>
      <w:r w:rsidRPr="002F65F5">
        <w:rPr>
          <w:i/>
          <w:iCs/>
          <w:color w:val="1F1F1F"/>
          <w:shd w:val="clear" w:color="auto" w:fill="FFFFFF"/>
        </w:rPr>
        <w:t xml:space="preserve">Johnson Hall, 105 SW 26th St, </w:t>
      </w:r>
      <w:r w:rsidRPr="002F65F5">
        <w:rPr>
          <w:rStyle w:val="apple-converted-space"/>
          <w:i/>
          <w:iCs/>
          <w:color w:val="1F1F1F"/>
          <w:shd w:val="clear" w:color="auto" w:fill="FFFFFF"/>
        </w:rPr>
        <w:t> </w:t>
      </w:r>
      <w:r w:rsidRPr="002F65F5">
        <w:rPr>
          <w:i/>
          <w:iCs/>
          <w:color w:val="1F1F1F"/>
          <w:shd w:val="clear" w:color="auto" w:fill="FFFFFF"/>
        </w:rPr>
        <w:t>97331</w:t>
      </w:r>
      <w:r>
        <w:rPr>
          <w:rFonts w:ascii="Helvetica Neue" w:hAnsi="Helvetica Neue"/>
          <w:color w:val="1F1F1F"/>
          <w:sz w:val="21"/>
          <w:szCs w:val="21"/>
          <w:shd w:val="clear" w:color="auto" w:fill="FFFFFF"/>
        </w:rPr>
        <w:t xml:space="preserve"> </w:t>
      </w:r>
      <w:r w:rsidRPr="002F65F5">
        <w:rPr>
          <w:i/>
          <w:iCs/>
        </w:rPr>
        <w:t>Corvallis, OR, USA</w:t>
      </w:r>
    </w:p>
    <w:p w14:paraId="0ACEFB68" w14:textId="414432E1" w:rsidR="00685C1A" w:rsidRPr="008B104E" w:rsidRDefault="005B7BA1" w:rsidP="00E0716D">
      <w:pPr>
        <w:jc w:val="center"/>
        <w:rPr>
          <w:i/>
        </w:rPr>
      </w:pPr>
      <w:r w:rsidRPr="008B104E">
        <w:rPr>
          <w:i/>
        </w:rPr>
        <w:t>zinger@umn.edu</w:t>
      </w:r>
    </w:p>
    <w:p w14:paraId="03576396" w14:textId="77777777" w:rsidR="004942A0" w:rsidRDefault="004942A0" w:rsidP="00762BDC">
      <w:pPr>
        <w:jc w:val="both"/>
      </w:pPr>
    </w:p>
    <w:p w14:paraId="45767378" w14:textId="391F6E23" w:rsidR="00607945" w:rsidRDefault="007E6486" w:rsidP="00546DDD">
      <w:pPr>
        <w:jc w:val="both"/>
        <w:rPr>
          <w:color w:val="000000" w:themeColor="text1"/>
        </w:rPr>
      </w:pPr>
      <w:r>
        <w:t>D</w:t>
      </w:r>
      <w:r w:rsidR="00762BDC">
        <w:t xml:space="preserve">ecades of research </w:t>
      </w:r>
      <w:r w:rsidR="00172420">
        <w:t xml:space="preserve">have been </w:t>
      </w:r>
      <w:r w:rsidR="00762BDC">
        <w:t xml:space="preserve">dedicated to </w:t>
      </w:r>
      <w:r w:rsidR="00ED6BDC">
        <w:rPr>
          <w:color w:val="000000" w:themeColor="text1"/>
        </w:rPr>
        <w:t>i</w:t>
      </w:r>
      <w:r w:rsidR="007A52A3">
        <w:rPr>
          <w:color w:val="000000" w:themeColor="text1"/>
        </w:rPr>
        <w:t xml:space="preserve">mproving </w:t>
      </w:r>
      <w:r w:rsidR="00CC6BDD">
        <w:rPr>
          <w:color w:val="000000" w:themeColor="text1"/>
        </w:rPr>
        <w:t xml:space="preserve">the </w:t>
      </w:r>
      <w:r w:rsidR="00616000">
        <w:rPr>
          <w:color w:val="000000" w:themeColor="text1"/>
        </w:rPr>
        <w:t>activity</w:t>
      </w:r>
      <w:r w:rsidR="00CC6BDD">
        <w:rPr>
          <w:color w:val="000000" w:themeColor="text1"/>
        </w:rPr>
        <w:t xml:space="preserve"> of </w:t>
      </w:r>
      <w:r w:rsidR="007A52A3">
        <w:rPr>
          <w:color w:val="000000" w:themeColor="text1"/>
        </w:rPr>
        <w:t xml:space="preserve">catalysts for </w:t>
      </w:r>
      <w:r w:rsidR="00CC6BDD">
        <w:rPr>
          <w:color w:val="000000" w:themeColor="text1"/>
        </w:rPr>
        <w:t xml:space="preserve">the </w:t>
      </w:r>
      <w:r w:rsidR="007A52A3">
        <w:rPr>
          <w:color w:val="000000" w:themeColor="text1"/>
        </w:rPr>
        <w:t>kinetically slow anodic half reaction</w:t>
      </w:r>
      <w:r w:rsidR="00172420">
        <w:rPr>
          <w:color w:val="000000" w:themeColor="text1"/>
        </w:rPr>
        <w:t xml:space="preserve"> of water electrolysis</w:t>
      </w:r>
      <w:r w:rsidR="007A52A3">
        <w:rPr>
          <w:color w:val="000000" w:themeColor="text1"/>
        </w:rPr>
        <w:t>, the oxygen evolution reaction (OER)</w:t>
      </w:r>
      <w:r w:rsidR="00ED6BDC">
        <w:rPr>
          <w:color w:val="000000" w:themeColor="text1"/>
        </w:rPr>
        <w:t>.</w:t>
      </w:r>
      <w:r w:rsidR="007A52A3">
        <w:rPr>
          <w:color w:val="000000" w:themeColor="text1"/>
        </w:rPr>
        <w:t xml:space="preserve"> </w:t>
      </w:r>
      <w:r w:rsidR="00ED6BDC">
        <w:rPr>
          <w:color w:val="000000" w:themeColor="text1"/>
        </w:rPr>
        <w:t xml:space="preserve">The best </w:t>
      </w:r>
      <w:r w:rsidR="007169D1" w:rsidRPr="007A52A3">
        <w:rPr>
          <w:color w:val="000000" w:themeColor="text1"/>
        </w:rPr>
        <w:t xml:space="preserve">practice for </w:t>
      </w:r>
      <w:r w:rsidR="00976540">
        <w:rPr>
          <w:color w:val="000000" w:themeColor="text1"/>
        </w:rPr>
        <w:t xml:space="preserve">benchmarking </w:t>
      </w:r>
      <w:r w:rsidR="00ED6BDC">
        <w:rPr>
          <w:color w:val="000000" w:themeColor="text1"/>
        </w:rPr>
        <w:t xml:space="preserve">OER catalysts is to </w:t>
      </w:r>
      <w:r w:rsidR="00A8053C">
        <w:rPr>
          <w:color w:val="000000" w:themeColor="text1"/>
        </w:rPr>
        <w:t>measure</w:t>
      </w:r>
      <w:r w:rsidR="00ED6BDC">
        <w:rPr>
          <w:color w:val="000000" w:themeColor="text1"/>
        </w:rPr>
        <w:t xml:space="preserve"> </w:t>
      </w:r>
      <w:r w:rsidR="0085789E">
        <w:rPr>
          <w:color w:val="000000" w:themeColor="text1"/>
        </w:rPr>
        <w:t xml:space="preserve">the </w:t>
      </w:r>
      <w:r w:rsidR="00ED6BDC">
        <w:rPr>
          <w:color w:val="000000" w:themeColor="text1"/>
        </w:rPr>
        <w:t xml:space="preserve">activity under </w:t>
      </w:r>
      <w:r w:rsidR="007169D1" w:rsidRPr="007A52A3">
        <w:rPr>
          <w:color w:val="000000" w:themeColor="text1"/>
        </w:rPr>
        <w:t>constant current or potential</w:t>
      </w:r>
      <w:r w:rsidR="001B0DFF">
        <w:rPr>
          <w:color w:val="000000" w:themeColor="text1"/>
        </w:rPr>
        <w:t>.</w:t>
      </w:r>
      <w:r w:rsidR="0085789E">
        <w:rPr>
          <w:color w:val="000000" w:themeColor="text1"/>
          <w:vertAlign w:val="superscript"/>
        </w:rPr>
        <w:t>1</w:t>
      </w:r>
      <w:r w:rsidR="003546A7">
        <w:rPr>
          <w:color w:val="000000" w:themeColor="text1"/>
        </w:rPr>
        <w:t xml:space="preserve"> This</w:t>
      </w:r>
      <w:r w:rsidR="009F0B0D">
        <w:rPr>
          <w:color w:val="000000" w:themeColor="text1"/>
        </w:rPr>
        <w:t xml:space="preserve"> </w:t>
      </w:r>
      <w:r w:rsidR="00E023D8">
        <w:rPr>
          <w:color w:val="000000" w:themeColor="text1"/>
        </w:rPr>
        <w:t>ubiquitous</w:t>
      </w:r>
      <w:r w:rsidR="003546A7">
        <w:rPr>
          <w:color w:val="000000" w:themeColor="text1"/>
        </w:rPr>
        <w:t xml:space="preserve"> </w:t>
      </w:r>
      <w:r w:rsidR="004C2628">
        <w:rPr>
          <w:color w:val="000000" w:themeColor="text1"/>
        </w:rPr>
        <w:t>appr</w:t>
      </w:r>
      <w:r w:rsidR="00172420">
        <w:rPr>
          <w:color w:val="000000" w:themeColor="text1"/>
        </w:rPr>
        <w:t>oach</w:t>
      </w:r>
      <w:r w:rsidR="004C2628">
        <w:rPr>
          <w:color w:val="000000" w:themeColor="text1"/>
        </w:rPr>
        <w:t>,</w:t>
      </w:r>
      <w:r w:rsidR="003546A7">
        <w:rPr>
          <w:color w:val="000000" w:themeColor="text1"/>
        </w:rPr>
        <w:t xml:space="preserve"> </w:t>
      </w:r>
      <w:r w:rsidR="005F70D7">
        <w:rPr>
          <w:color w:val="000000" w:themeColor="text1"/>
        </w:rPr>
        <w:t>h</w:t>
      </w:r>
      <w:r w:rsidR="003546A7">
        <w:rPr>
          <w:color w:val="000000" w:themeColor="text1"/>
        </w:rPr>
        <w:t>owever,</w:t>
      </w:r>
      <w:r w:rsidR="00616000">
        <w:rPr>
          <w:color w:val="000000" w:themeColor="text1"/>
        </w:rPr>
        <w:t xml:space="preserve"> </w:t>
      </w:r>
      <w:r w:rsidR="004C2628">
        <w:rPr>
          <w:color w:val="000000" w:themeColor="text1"/>
        </w:rPr>
        <w:t xml:space="preserve">probes a steady state condition </w:t>
      </w:r>
      <w:r w:rsidR="00172420">
        <w:rPr>
          <w:color w:val="000000" w:themeColor="text1"/>
        </w:rPr>
        <w:t>in which the</w:t>
      </w:r>
      <w:r w:rsidR="004C2628">
        <w:rPr>
          <w:color w:val="000000" w:themeColor="text1"/>
        </w:rPr>
        <w:t xml:space="preserve"> OER rate is not necessarily the maximum </w:t>
      </w:r>
      <w:r w:rsidR="009F0B0D">
        <w:rPr>
          <w:color w:val="000000" w:themeColor="text1"/>
        </w:rPr>
        <w:t>achievable rate</w:t>
      </w:r>
      <w:r w:rsidR="004C2628">
        <w:rPr>
          <w:color w:val="000000" w:themeColor="text1"/>
        </w:rPr>
        <w:t xml:space="preserve"> due to </w:t>
      </w:r>
      <w:r w:rsidR="0026497D">
        <w:rPr>
          <w:color w:val="000000" w:themeColor="text1"/>
        </w:rPr>
        <w:t>a non-ideal</w:t>
      </w:r>
      <w:r w:rsidR="004C2628">
        <w:rPr>
          <w:color w:val="000000" w:themeColor="text1"/>
        </w:rPr>
        <w:t xml:space="preserve"> coverage of adsorbed intermediates</w:t>
      </w:r>
      <w:r w:rsidR="0085789E">
        <w:rPr>
          <w:color w:val="000000" w:themeColor="text1"/>
          <w:vertAlign w:val="superscript"/>
        </w:rPr>
        <w:t>2</w:t>
      </w:r>
      <w:r w:rsidR="0085789E">
        <w:rPr>
          <w:color w:val="000000" w:themeColor="text1"/>
        </w:rPr>
        <w:t xml:space="preserve"> </w:t>
      </w:r>
      <w:r w:rsidR="004C2628">
        <w:rPr>
          <w:color w:val="000000" w:themeColor="text1"/>
        </w:rPr>
        <w:t xml:space="preserve">and/or </w:t>
      </w:r>
      <w:r w:rsidR="009F0B0D">
        <w:rPr>
          <w:color w:val="000000" w:themeColor="text1"/>
        </w:rPr>
        <w:t>interfacial solvent structuring.</w:t>
      </w:r>
      <w:r w:rsidR="0085789E" w:rsidRPr="002F65F5">
        <w:rPr>
          <w:color w:val="000000" w:themeColor="text1"/>
          <w:vertAlign w:val="superscript"/>
        </w:rPr>
        <w:t>3</w:t>
      </w:r>
      <w:r w:rsidR="009F0B0D">
        <w:rPr>
          <w:color w:val="000000" w:themeColor="text1"/>
        </w:rPr>
        <w:t xml:space="preserve"> Here, we explore an alternative approach where we manipulate the applied potential to </w:t>
      </w:r>
      <w:r w:rsidR="001422A0">
        <w:rPr>
          <w:color w:val="000000" w:themeColor="text1"/>
        </w:rPr>
        <w:t xml:space="preserve">dynamically </w:t>
      </w:r>
      <w:r w:rsidR="009F0B0D">
        <w:rPr>
          <w:color w:val="000000" w:themeColor="text1"/>
        </w:rPr>
        <w:t xml:space="preserve">change the adsorbate speciation, coverage, and solvent structure. </w:t>
      </w:r>
      <w:r w:rsidR="00172420">
        <w:rPr>
          <w:rFonts w:cs="Calibri"/>
          <w:szCs w:val="22"/>
        </w:rPr>
        <w:t>Pulsed water electrolysis has</w:t>
      </w:r>
      <w:r w:rsidR="00546DDD">
        <w:rPr>
          <w:rFonts w:cs="Calibri"/>
          <w:szCs w:val="22"/>
        </w:rPr>
        <w:t xml:space="preserve"> </w:t>
      </w:r>
      <w:r w:rsidR="00D226B0">
        <w:rPr>
          <w:rFonts w:cs="Calibri"/>
          <w:szCs w:val="22"/>
        </w:rPr>
        <w:t xml:space="preserve">previously </w:t>
      </w:r>
      <w:r w:rsidR="00546DDD">
        <w:rPr>
          <w:rFonts w:cs="Calibri"/>
          <w:szCs w:val="22"/>
        </w:rPr>
        <w:t>been investigated in the context of promoting gas bubble desorption, improving energy efficiency, and accelerated stress testing</w:t>
      </w:r>
      <w:r w:rsidR="00172420">
        <w:rPr>
          <w:rFonts w:cs="Calibri"/>
          <w:szCs w:val="22"/>
        </w:rPr>
        <w:t>.</w:t>
      </w:r>
      <w:r w:rsidR="0085789E">
        <w:rPr>
          <w:rFonts w:cs="Calibri"/>
          <w:szCs w:val="22"/>
          <w:vertAlign w:val="superscript"/>
        </w:rPr>
        <w:t>4</w:t>
      </w:r>
      <w:r w:rsidR="00546DDD">
        <w:rPr>
          <w:rFonts w:cs="Calibri"/>
          <w:szCs w:val="22"/>
        </w:rPr>
        <w:t xml:space="preserve"> </w:t>
      </w:r>
      <w:r w:rsidR="00172420">
        <w:rPr>
          <w:rFonts w:cs="Calibri"/>
          <w:szCs w:val="22"/>
        </w:rPr>
        <w:t>U</w:t>
      </w:r>
      <w:r w:rsidR="00546DDD">
        <w:rPr>
          <w:rFonts w:cs="Calibri"/>
          <w:szCs w:val="22"/>
        </w:rPr>
        <w:t xml:space="preserve">nfortunately, the interpretation of such results </w:t>
      </w:r>
      <w:r w:rsidR="00D226B0">
        <w:rPr>
          <w:rFonts w:cs="Calibri"/>
          <w:szCs w:val="22"/>
        </w:rPr>
        <w:t xml:space="preserve">in the absence of direct product measurement </w:t>
      </w:r>
      <w:r w:rsidR="00546DDD">
        <w:rPr>
          <w:rFonts w:cs="Calibri"/>
          <w:szCs w:val="22"/>
        </w:rPr>
        <w:t xml:space="preserve">is often limited because the OER </w:t>
      </w:r>
      <w:r w:rsidR="0027389E">
        <w:rPr>
          <w:rFonts w:cs="Calibri"/>
          <w:szCs w:val="22"/>
        </w:rPr>
        <w:t>current</w:t>
      </w:r>
      <w:r w:rsidR="00546DDD">
        <w:rPr>
          <w:rFonts w:cs="Calibri"/>
          <w:szCs w:val="22"/>
        </w:rPr>
        <w:t xml:space="preserve"> is convoluted </w:t>
      </w:r>
      <w:r w:rsidR="0027389E">
        <w:rPr>
          <w:rFonts w:cs="Calibri"/>
          <w:szCs w:val="22"/>
        </w:rPr>
        <w:t>with</w:t>
      </w:r>
      <w:r w:rsidR="00546DDD">
        <w:rPr>
          <w:rFonts w:cs="Calibri"/>
          <w:szCs w:val="22"/>
        </w:rPr>
        <w:t xml:space="preserve"> non-faradaic charge from rapid capacitive charging and discharging of the electr</w:t>
      </w:r>
      <w:r w:rsidR="002F65F5">
        <w:rPr>
          <w:rFonts w:cs="Calibri"/>
          <w:szCs w:val="22"/>
        </w:rPr>
        <w:t>ica</w:t>
      </w:r>
      <w:r w:rsidR="00546DDD">
        <w:rPr>
          <w:rFonts w:cs="Calibri"/>
          <w:szCs w:val="22"/>
        </w:rPr>
        <w:t>l double layer</w:t>
      </w:r>
      <w:r w:rsidR="00DC53BD">
        <w:rPr>
          <w:rFonts w:cs="Calibri"/>
          <w:szCs w:val="22"/>
        </w:rPr>
        <w:t xml:space="preserve"> (EDL)</w:t>
      </w:r>
      <w:r w:rsidR="00546DDD">
        <w:rPr>
          <w:rFonts w:cs="Calibri"/>
          <w:szCs w:val="22"/>
        </w:rPr>
        <w:t>.</w:t>
      </w:r>
      <w:r w:rsidR="00607945">
        <w:rPr>
          <w:color w:val="000000" w:themeColor="text1"/>
        </w:rPr>
        <w:t xml:space="preserve"> </w:t>
      </w:r>
    </w:p>
    <w:p w14:paraId="2C9DAB20" w14:textId="77777777" w:rsidR="00607945" w:rsidRPr="007E6486" w:rsidRDefault="00607945" w:rsidP="00546DDD">
      <w:pPr>
        <w:jc w:val="both"/>
      </w:pPr>
    </w:p>
    <w:p w14:paraId="531A736C" w14:textId="238D0C12" w:rsidR="003272BA" w:rsidRPr="007378DA" w:rsidRDefault="0041416D" w:rsidP="000F2DC5">
      <w:pPr>
        <w:jc w:val="both"/>
        <w:rPr>
          <w:color w:val="000000" w:themeColor="text1"/>
        </w:rPr>
      </w:pPr>
      <w:r>
        <w:rPr>
          <w:rFonts w:cs="Calibri"/>
          <w:szCs w:val="22"/>
        </w:rPr>
        <w:t>To overcome this challenge</w:t>
      </w:r>
      <w:r w:rsidR="00CC6BDD">
        <w:rPr>
          <w:color w:val="000000" w:themeColor="text1"/>
        </w:rPr>
        <w:t xml:space="preserve">, we utilize </w:t>
      </w:r>
      <w:r w:rsidR="00CC6BDD" w:rsidRPr="002F65F5">
        <w:rPr>
          <w:i/>
          <w:iCs/>
          <w:color w:val="000000" w:themeColor="text1"/>
        </w:rPr>
        <w:t>in</w:t>
      </w:r>
      <w:r w:rsidR="002805CC">
        <w:rPr>
          <w:i/>
          <w:iCs/>
          <w:color w:val="000000" w:themeColor="text1"/>
        </w:rPr>
        <w:t xml:space="preserve"> </w:t>
      </w:r>
      <w:r w:rsidR="00CC6BDD" w:rsidRPr="002F65F5">
        <w:rPr>
          <w:i/>
          <w:iCs/>
          <w:color w:val="000000" w:themeColor="text1"/>
        </w:rPr>
        <w:t>situ</w:t>
      </w:r>
      <w:r w:rsidR="00CC6BDD">
        <w:rPr>
          <w:color w:val="000000" w:themeColor="text1"/>
        </w:rPr>
        <w:t xml:space="preserve"> electrochemical mass spectrometry (EC-MS) to directly measure </w:t>
      </w:r>
      <w:r w:rsidR="00AB7D2E">
        <w:rPr>
          <w:color w:val="000000" w:themeColor="text1"/>
        </w:rPr>
        <w:t xml:space="preserve">volatile </w:t>
      </w:r>
      <w:r w:rsidR="00CC6BDD">
        <w:rPr>
          <w:color w:val="000000" w:themeColor="text1"/>
        </w:rPr>
        <w:t xml:space="preserve">products in real time with 100% collection efficiency, reproducible mass transport, and </w:t>
      </w:r>
      <w:r w:rsidR="00AB7D2E">
        <w:rPr>
          <w:color w:val="000000" w:themeColor="text1"/>
        </w:rPr>
        <w:t xml:space="preserve">a </w:t>
      </w:r>
      <w:r w:rsidR="00CC6BDD">
        <w:rPr>
          <w:color w:val="000000" w:themeColor="text1"/>
        </w:rPr>
        <w:t>sub-picomolar s</w:t>
      </w:r>
      <w:r w:rsidR="00CC6BDD">
        <w:rPr>
          <w:color w:val="000000" w:themeColor="text1"/>
          <w:vertAlign w:val="superscript"/>
        </w:rPr>
        <w:t>-1</w:t>
      </w:r>
      <w:r w:rsidR="00CC6BDD">
        <w:rPr>
          <w:color w:val="000000" w:themeColor="text1"/>
        </w:rPr>
        <w:t xml:space="preserve"> detection limit.</w:t>
      </w:r>
      <w:r w:rsidR="0085789E">
        <w:rPr>
          <w:color w:val="000000" w:themeColor="text1"/>
          <w:vertAlign w:val="superscript"/>
        </w:rPr>
        <w:t>5</w:t>
      </w:r>
      <w:r w:rsidR="00CC6BDD">
        <w:rPr>
          <w:color w:val="000000" w:themeColor="text1"/>
        </w:rPr>
        <w:t xml:space="preserve"> </w:t>
      </w:r>
      <w:r w:rsidR="00607945">
        <w:rPr>
          <w:color w:val="000000" w:themeColor="text1"/>
        </w:rPr>
        <w:t xml:space="preserve">Our results demonstrate that dynamic applied potentials increase the time averaged rate relative to </w:t>
      </w:r>
      <w:r w:rsidR="0085789E">
        <w:rPr>
          <w:color w:val="000000" w:themeColor="text1"/>
        </w:rPr>
        <w:t>the</w:t>
      </w:r>
      <w:r w:rsidR="00607945">
        <w:rPr>
          <w:color w:val="000000" w:themeColor="text1"/>
        </w:rPr>
        <w:t xml:space="preserve"> potentiostatic control </w:t>
      </w:r>
      <w:r w:rsidR="0085789E">
        <w:rPr>
          <w:color w:val="000000" w:themeColor="text1"/>
        </w:rPr>
        <w:t>near</w:t>
      </w:r>
      <w:r w:rsidR="00607945">
        <w:rPr>
          <w:color w:val="000000" w:themeColor="text1"/>
        </w:rPr>
        <w:t xml:space="preserve"> the OER onset. </w:t>
      </w:r>
      <w:r w:rsidR="0019015B">
        <w:rPr>
          <w:color w:val="000000" w:themeColor="text1"/>
        </w:rPr>
        <w:t>To probe the time scale and potential dependence of square potential waveform profiles, w</w:t>
      </w:r>
      <w:r w:rsidR="00A84F2C" w:rsidRPr="007A52A3">
        <w:rPr>
          <w:color w:val="000000" w:themeColor="text1"/>
        </w:rPr>
        <w:t>e</w:t>
      </w:r>
      <w:r w:rsidR="00E34946">
        <w:rPr>
          <w:color w:val="000000" w:themeColor="text1"/>
        </w:rPr>
        <w:t xml:space="preserve"> var</w:t>
      </w:r>
      <w:r w:rsidR="0019015B">
        <w:rPr>
          <w:color w:val="000000" w:themeColor="text1"/>
        </w:rPr>
        <w:t>y</w:t>
      </w:r>
      <w:r w:rsidR="00A84F2C">
        <w:rPr>
          <w:color w:val="000000" w:themeColor="text1"/>
        </w:rPr>
        <w:t xml:space="preserve"> </w:t>
      </w:r>
      <w:r w:rsidR="00E34946">
        <w:rPr>
          <w:color w:val="000000" w:themeColor="text1"/>
        </w:rPr>
        <w:t>the</w:t>
      </w:r>
      <w:r w:rsidRPr="0041416D">
        <w:rPr>
          <w:color w:val="000000" w:themeColor="text1"/>
        </w:rPr>
        <w:t xml:space="preserve"> </w:t>
      </w:r>
      <w:r>
        <w:rPr>
          <w:color w:val="000000" w:themeColor="text1"/>
        </w:rPr>
        <w:t>frequency, duty cycle, amplitude, and waveform center</w:t>
      </w:r>
      <w:r w:rsidR="00E34946">
        <w:rPr>
          <w:color w:val="000000" w:themeColor="text1"/>
        </w:rPr>
        <w:t xml:space="preserve">. </w:t>
      </w:r>
      <w:r w:rsidR="00616000">
        <w:rPr>
          <w:color w:val="000000" w:themeColor="text1"/>
        </w:rPr>
        <w:t>We find</w:t>
      </w:r>
      <w:r w:rsidR="00A8053C">
        <w:rPr>
          <w:color w:val="000000" w:themeColor="text1"/>
        </w:rPr>
        <w:t xml:space="preserve"> that not only the timescale (frequency) but also </w:t>
      </w:r>
      <w:r w:rsidR="00AB7D2E">
        <w:rPr>
          <w:color w:val="000000" w:themeColor="text1"/>
        </w:rPr>
        <w:t xml:space="preserve">the </w:t>
      </w:r>
      <w:r w:rsidR="00A8053C">
        <w:rPr>
          <w:color w:val="000000" w:themeColor="text1"/>
        </w:rPr>
        <w:t>asymmetry (duty cycle) impacts the time-averaged enhancement factor of OER ra</w:t>
      </w:r>
      <w:r w:rsidR="000F2DC5">
        <w:rPr>
          <w:color w:val="000000" w:themeColor="text1"/>
        </w:rPr>
        <w:t>te</w:t>
      </w:r>
      <w:r w:rsidR="00616000">
        <w:rPr>
          <w:color w:val="000000" w:themeColor="text1"/>
        </w:rPr>
        <w:t>.</w:t>
      </w:r>
      <w:r w:rsidR="00DC53BD">
        <w:rPr>
          <w:color w:val="000000" w:themeColor="text1"/>
        </w:rPr>
        <w:t xml:space="preserve"> </w:t>
      </w:r>
      <w:r w:rsidR="00872FFB">
        <w:rPr>
          <w:color w:val="000000" w:themeColor="text1"/>
        </w:rPr>
        <w:t>We contextualize our findings with recent experiments showing high coverage of adsorbed *O activates the rate-determining O-O coupling step of OER, even in the absence of applied potential and suggest pulsing is efficiently promoting high *O surface coverage.</w:t>
      </w:r>
      <w:r w:rsidR="0085789E">
        <w:rPr>
          <w:color w:val="000000" w:themeColor="text1"/>
          <w:vertAlign w:val="superscript"/>
        </w:rPr>
        <w:t>2</w:t>
      </w:r>
      <w:r w:rsidR="000F2DC5">
        <w:rPr>
          <w:color w:val="000000" w:themeColor="text1"/>
        </w:rPr>
        <w:t xml:space="preserve"> </w:t>
      </w:r>
      <w:r w:rsidR="00DC53BD">
        <w:rPr>
          <w:color w:val="000000" w:themeColor="text1"/>
        </w:rPr>
        <w:t xml:space="preserve">In addition, </w:t>
      </w:r>
      <w:r w:rsidR="003F7458">
        <w:rPr>
          <w:color w:val="000000" w:themeColor="text1"/>
        </w:rPr>
        <w:t>we find the</w:t>
      </w:r>
      <w:r w:rsidR="00DC53BD">
        <w:rPr>
          <w:color w:val="000000" w:themeColor="text1"/>
        </w:rPr>
        <w:t xml:space="preserve"> time-averaged OER rate is strongly potential dependent, with larger amplitudes and</w:t>
      </w:r>
      <w:r w:rsidR="00DC53BD" w:rsidRPr="00537409">
        <w:rPr>
          <w:color w:val="000000" w:themeColor="text1"/>
        </w:rPr>
        <w:t xml:space="preserve"> waveform centers</w:t>
      </w:r>
      <w:r w:rsidR="00DC53BD">
        <w:rPr>
          <w:color w:val="000000" w:themeColor="text1"/>
        </w:rPr>
        <w:t xml:space="preserve"> </w:t>
      </w:r>
      <w:r w:rsidR="00DC53BD" w:rsidRPr="00537409">
        <w:rPr>
          <w:i/>
          <w:iCs/>
          <w:color w:val="000000" w:themeColor="text1"/>
        </w:rPr>
        <w:t>below</w:t>
      </w:r>
      <w:r w:rsidR="00DC53BD">
        <w:rPr>
          <w:color w:val="000000" w:themeColor="text1"/>
        </w:rPr>
        <w:t xml:space="preserve"> the steady state OER detection limit maximizing OER rate enhancement. </w:t>
      </w:r>
      <w:r w:rsidR="003F7458">
        <w:rPr>
          <w:color w:val="000000" w:themeColor="text1"/>
        </w:rPr>
        <w:t xml:space="preserve">This is consistent with recent work showing that (dynamic) </w:t>
      </w:r>
      <w:r w:rsidR="000F2DC5">
        <w:rPr>
          <w:color w:val="000000" w:themeColor="text1"/>
        </w:rPr>
        <w:t xml:space="preserve">solvent </w:t>
      </w:r>
      <w:r w:rsidR="003F7458">
        <w:rPr>
          <w:color w:val="000000" w:themeColor="text1"/>
        </w:rPr>
        <w:t>pre-organization</w:t>
      </w:r>
      <w:r w:rsidR="000F2DC5">
        <w:rPr>
          <w:color w:val="000000" w:themeColor="text1"/>
        </w:rPr>
        <w:t xml:space="preserve"> </w:t>
      </w:r>
      <w:r w:rsidR="003F7458">
        <w:rPr>
          <w:color w:val="000000" w:themeColor="text1"/>
        </w:rPr>
        <w:t>controls the activation energy at</w:t>
      </w:r>
      <w:r w:rsidR="000F2DC5">
        <w:rPr>
          <w:color w:val="000000" w:themeColor="text1"/>
        </w:rPr>
        <w:t xml:space="preserve"> low overpotential</w:t>
      </w:r>
      <w:r w:rsidR="00872FFB">
        <w:rPr>
          <w:color w:val="000000" w:themeColor="text1"/>
        </w:rPr>
        <w:t>.</w:t>
      </w:r>
      <w:r w:rsidR="0085789E">
        <w:rPr>
          <w:color w:val="000000" w:themeColor="text1"/>
          <w:vertAlign w:val="superscript"/>
        </w:rPr>
        <w:t>3</w:t>
      </w:r>
      <w:r w:rsidR="007378DA">
        <w:rPr>
          <w:color w:val="000000" w:themeColor="text1"/>
        </w:rPr>
        <w:t xml:space="preserve"> </w:t>
      </w:r>
      <w:r w:rsidR="002805CC">
        <w:rPr>
          <w:color w:val="000000" w:themeColor="text1"/>
        </w:rPr>
        <w:t xml:space="preserve">We leverage </w:t>
      </w:r>
      <w:r w:rsidR="002805CC" w:rsidRPr="007747AF">
        <w:rPr>
          <w:i/>
          <w:iCs/>
        </w:rPr>
        <w:t>operando</w:t>
      </w:r>
      <w:r w:rsidR="002805CC" w:rsidRPr="007747AF">
        <w:t xml:space="preserve"> attenuated total reflection surface enhanced infrared absorption spectroscopy (ATR-SEIRAS) </w:t>
      </w:r>
      <w:r w:rsidR="007378DA">
        <w:rPr>
          <w:color w:val="000000" w:themeColor="text1"/>
        </w:rPr>
        <w:t xml:space="preserve">to </w:t>
      </w:r>
      <w:r w:rsidR="00DC53BD">
        <w:rPr>
          <w:color w:val="000000" w:themeColor="text1"/>
        </w:rPr>
        <w:t xml:space="preserve">address open questions about </w:t>
      </w:r>
      <w:r w:rsidR="005B3851">
        <w:rPr>
          <w:color w:val="000000" w:themeColor="text1"/>
        </w:rPr>
        <w:t xml:space="preserve">potential-dependent changes to </w:t>
      </w:r>
      <w:r w:rsidR="00DC53BD">
        <w:rPr>
          <w:color w:val="000000" w:themeColor="text1"/>
        </w:rPr>
        <w:t>the interfacial water structure in the EDL under potentiodynamic conditions</w:t>
      </w:r>
      <w:r w:rsidR="005B3851">
        <w:rPr>
          <w:color w:val="000000" w:themeColor="text1"/>
        </w:rPr>
        <w:t>.</w:t>
      </w:r>
      <w:r w:rsidR="003272BA">
        <w:rPr>
          <w:color w:val="000000" w:themeColor="text1"/>
        </w:rPr>
        <w:t xml:space="preserve"> Together, this work demonstrates that increased electrocatalytic rates can be achieved beyond steady state conditions, </w:t>
      </w:r>
      <w:r w:rsidR="00D226B0">
        <w:rPr>
          <w:color w:val="000000" w:themeColor="text1"/>
        </w:rPr>
        <w:t xml:space="preserve">offering new strategies to interrogate and </w:t>
      </w:r>
      <w:r w:rsidR="000E1545">
        <w:rPr>
          <w:color w:val="000000" w:themeColor="text1"/>
        </w:rPr>
        <w:t xml:space="preserve">overcome </w:t>
      </w:r>
      <w:r w:rsidR="00D226B0">
        <w:rPr>
          <w:color w:val="000000" w:themeColor="text1"/>
        </w:rPr>
        <w:t xml:space="preserve">rate limiting </w:t>
      </w:r>
      <w:r w:rsidR="00F573C2">
        <w:rPr>
          <w:color w:val="000000" w:themeColor="text1"/>
        </w:rPr>
        <w:t>processes near the reaction onset</w:t>
      </w:r>
      <w:r w:rsidR="003272BA">
        <w:rPr>
          <w:color w:val="000000" w:themeColor="text1"/>
        </w:rPr>
        <w:t>.</w:t>
      </w:r>
    </w:p>
    <w:p w14:paraId="78EE33A0" w14:textId="32DB63B1" w:rsidR="007169D1" w:rsidRPr="007A52A3" w:rsidRDefault="007169D1" w:rsidP="007169D1">
      <w:pPr>
        <w:pStyle w:val="Heading4"/>
        <w:tabs>
          <w:tab w:val="left" w:pos="4962"/>
        </w:tabs>
        <w:rPr>
          <w:rFonts w:ascii="Times New Roman" w:hAnsi="Times New Roman"/>
          <w:sz w:val="20"/>
          <w:szCs w:val="20"/>
        </w:rPr>
      </w:pPr>
      <w:r w:rsidRPr="007A52A3">
        <w:rPr>
          <w:rFonts w:ascii="Times New Roman" w:hAnsi="Times New Roman"/>
          <w:sz w:val="20"/>
          <w:szCs w:val="20"/>
        </w:rPr>
        <w:t>References</w:t>
      </w:r>
    </w:p>
    <w:p w14:paraId="4E3A9D51" w14:textId="04604C23" w:rsidR="007169D1" w:rsidRPr="001D538C" w:rsidRDefault="007169D1" w:rsidP="001D538C">
      <w:pPr>
        <w:widowControl/>
        <w:numPr>
          <w:ilvl w:val="0"/>
          <w:numId w:val="1"/>
        </w:numPr>
        <w:tabs>
          <w:tab w:val="left" w:pos="4962"/>
        </w:tabs>
        <w:jc w:val="both"/>
        <w:rPr>
          <w:color w:val="1C1D1E"/>
          <w:shd w:val="clear" w:color="auto" w:fill="FFFFFF"/>
        </w:rPr>
      </w:pPr>
      <w:r w:rsidRPr="007A52A3">
        <w:rPr>
          <w:rStyle w:val="author"/>
          <w:color w:val="1C1D1E"/>
          <w:shd w:val="clear" w:color="auto" w:fill="FFFFFF"/>
        </w:rPr>
        <w:t>C. Wei</w:t>
      </w:r>
      <w:r w:rsidRPr="007A52A3">
        <w:rPr>
          <w:color w:val="1C1D1E"/>
          <w:shd w:val="clear" w:color="auto" w:fill="FFFFFF"/>
        </w:rPr>
        <w:t>, </w:t>
      </w:r>
      <w:r w:rsidRPr="007A52A3">
        <w:rPr>
          <w:rStyle w:val="author"/>
          <w:color w:val="1C1D1E"/>
          <w:shd w:val="clear" w:color="auto" w:fill="FFFFFF"/>
        </w:rPr>
        <w:t>R. R. Rao</w:t>
      </w:r>
      <w:r w:rsidRPr="007A52A3">
        <w:rPr>
          <w:color w:val="1C1D1E"/>
          <w:shd w:val="clear" w:color="auto" w:fill="FFFFFF"/>
        </w:rPr>
        <w:t>, </w:t>
      </w:r>
      <w:r w:rsidRPr="007A52A3">
        <w:rPr>
          <w:rStyle w:val="author"/>
          <w:color w:val="1C1D1E"/>
          <w:shd w:val="clear" w:color="auto" w:fill="FFFFFF"/>
        </w:rPr>
        <w:t>J. Peng</w:t>
      </w:r>
      <w:r w:rsidRPr="007A52A3">
        <w:rPr>
          <w:color w:val="1C1D1E"/>
          <w:shd w:val="clear" w:color="auto" w:fill="FFFFFF"/>
        </w:rPr>
        <w:t>, </w:t>
      </w:r>
      <w:r w:rsidRPr="007A52A3">
        <w:rPr>
          <w:rStyle w:val="author"/>
          <w:color w:val="1C1D1E"/>
          <w:shd w:val="clear" w:color="auto" w:fill="FFFFFF"/>
        </w:rPr>
        <w:t>B. Huang</w:t>
      </w:r>
      <w:r w:rsidRPr="007A52A3">
        <w:rPr>
          <w:color w:val="1C1D1E"/>
          <w:shd w:val="clear" w:color="auto" w:fill="FFFFFF"/>
        </w:rPr>
        <w:t>, </w:t>
      </w:r>
      <w:r w:rsidRPr="007A52A3">
        <w:rPr>
          <w:rStyle w:val="author"/>
          <w:color w:val="1C1D1E"/>
          <w:shd w:val="clear" w:color="auto" w:fill="FFFFFF"/>
        </w:rPr>
        <w:t>I. E. L. Stephens</w:t>
      </w:r>
      <w:r w:rsidRPr="007A52A3">
        <w:rPr>
          <w:color w:val="1C1D1E"/>
          <w:shd w:val="clear" w:color="auto" w:fill="FFFFFF"/>
        </w:rPr>
        <w:t>, </w:t>
      </w:r>
      <w:r w:rsidRPr="007A52A3">
        <w:rPr>
          <w:rStyle w:val="author"/>
          <w:color w:val="1C1D1E"/>
          <w:shd w:val="clear" w:color="auto" w:fill="FFFFFF"/>
        </w:rPr>
        <w:t>M. Risch</w:t>
      </w:r>
      <w:r w:rsidRPr="007A52A3">
        <w:rPr>
          <w:color w:val="1C1D1E"/>
          <w:shd w:val="clear" w:color="auto" w:fill="FFFFFF"/>
        </w:rPr>
        <w:t>, </w:t>
      </w:r>
      <w:r w:rsidRPr="007A52A3">
        <w:rPr>
          <w:rStyle w:val="author"/>
          <w:color w:val="1C1D1E"/>
          <w:shd w:val="clear" w:color="auto" w:fill="FFFFFF"/>
        </w:rPr>
        <w:t>Z. J. Xu</w:t>
      </w:r>
      <w:r w:rsidRPr="007A52A3">
        <w:rPr>
          <w:color w:val="1C1D1E"/>
          <w:shd w:val="clear" w:color="auto" w:fill="FFFFFF"/>
        </w:rPr>
        <w:t>, </w:t>
      </w:r>
      <w:r w:rsidRPr="007A52A3">
        <w:rPr>
          <w:rStyle w:val="author"/>
          <w:color w:val="1C1D1E"/>
          <w:shd w:val="clear" w:color="auto" w:fill="FFFFFF"/>
        </w:rPr>
        <w:t>Y. Shao-Horn</w:t>
      </w:r>
      <w:r w:rsidRPr="007A52A3">
        <w:rPr>
          <w:color w:val="1C1D1E"/>
          <w:shd w:val="clear" w:color="auto" w:fill="FFFFFF"/>
        </w:rPr>
        <w:t>, </w:t>
      </w:r>
      <w:r w:rsidRPr="007A52A3">
        <w:rPr>
          <w:i/>
          <w:iCs/>
          <w:color w:val="1C1D1E"/>
          <w:shd w:val="clear" w:color="auto" w:fill="FFFFFF"/>
        </w:rPr>
        <w:t>Adv. Mater.</w:t>
      </w:r>
      <w:r w:rsidRPr="007A52A3">
        <w:rPr>
          <w:color w:val="1C1D1E"/>
          <w:shd w:val="clear" w:color="auto" w:fill="FFFFFF"/>
        </w:rPr>
        <w:t> </w:t>
      </w:r>
      <w:r w:rsidRPr="003546A7">
        <w:rPr>
          <w:rStyle w:val="pubyear"/>
          <w:b/>
          <w:bCs/>
          <w:color w:val="1C1D1E"/>
          <w:shd w:val="clear" w:color="auto" w:fill="FFFFFF"/>
        </w:rPr>
        <w:t>2019</w:t>
      </w:r>
      <w:r w:rsidRPr="007A52A3">
        <w:rPr>
          <w:color w:val="1C1D1E"/>
          <w:shd w:val="clear" w:color="auto" w:fill="FFFFFF"/>
        </w:rPr>
        <w:t>, </w:t>
      </w:r>
      <w:r w:rsidRPr="003546A7">
        <w:rPr>
          <w:rStyle w:val="vol"/>
          <w:color w:val="1C1D1E"/>
          <w:shd w:val="clear" w:color="auto" w:fill="FFFFFF"/>
        </w:rPr>
        <w:t>31</w:t>
      </w:r>
      <w:r w:rsidRPr="007A52A3">
        <w:rPr>
          <w:color w:val="1C1D1E"/>
          <w:shd w:val="clear" w:color="auto" w:fill="FFFFFF"/>
        </w:rPr>
        <w:t>, 1806296</w:t>
      </w:r>
      <w:r w:rsidR="001D538C">
        <w:rPr>
          <w:color w:val="1C1D1E"/>
          <w:shd w:val="clear" w:color="auto" w:fill="FFFFFF"/>
        </w:rPr>
        <w:t xml:space="preserve">, </w:t>
      </w:r>
      <w:r w:rsidR="001D538C" w:rsidRPr="001D538C">
        <w:rPr>
          <w:color w:val="1C1D1E"/>
          <w:shd w:val="clear" w:color="auto" w:fill="FFFFFF"/>
        </w:rPr>
        <w:t>DOI: 10.1002/adma.201806296</w:t>
      </w:r>
      <w:r w:rsidR="001D538C">
        <w:rPr>
          <w:color w:val="1C1D1E"/>
          <w:shd w:val="clear" w:color="auto" w:fill="FFFFFF"/>
        </w:rPr>
        <w:t>.</w:t>
      </w:r>
    </w:p>
    <w:p w14:paraId="6D3CF6EB" w14:textId="43018550" w:rsidR="0085789E" w:rsidRPr="00537409" w:rsidRDefault="0085789E" w:rsidP="001D538C">
      <w:pPr>
        <w:widowControl/>
        <w:numPr>
          <w:ilvl w:val="0"/>
          <w:numId w:val="1"/>
        </w:numPr>
        <w:tabs>
          <w:tab w:val="left" w:pos="4962"/>
        </w:tabs>
        <w:jc w:val="both"/>
      </w:pPr>
      <w:r w:rsidRPr="00537409">
        <w:t xml:space="preserve">C. Liang, </w:t>
      </w:r>
      <w:r w:rsidR="001D538C">
        <w:t xml:space="preserve">L. Garcia Verga, B. Moss, S. Kumar, S. B. Scott, M. A. Turner, P. Ferrer, V. </w:t>
      </w:r>
      <w:proofErr w:type="spellStart"/>
      <w:r w:rsidR="001D538C">
        <w:t>Celorrio</w:t>
      </w:r>
      <w:proofErr w:type="spellEnd"/>
      <w:r w:rsidR="001D538C">
        <w:t>, D. C. Grinter, Y. Tao, S. Halder, Y. Wang, C. Tseng, G. Yang, G. Held, S. J. Haigh, A. Walsh, I. E. L. Stephens, J. Durrant, R. R. Rao</w:t>
      </w:r>
      <w:r w:rsidRPr="00537409">
        <w:t xml:space="preserve">, </w:t>
      </w:r>
      <w:r w:rsidRPr="00537409">
        <w:rPr>
          <w:i/>
          <w:iCs/>
        </w:rPr>
        <w:t>Nat.</w:t>
      </w:r>
      <w:r w:rsidR="001D538C">
        <w:rPr>
          <w:i/>
          <w:iCs/>
        </w:rPr>
        <w:t xml:space="preserve"> Mater</w:t>
      </w:r>
      <w:r w:rsidRPr="00537409">
        <w:rPr>
          <w:i/>
          <w:iCs/>
        </w:rPr>
        <w:t>.</w:t>
      </w:r>
      <w:r w:rsidRPr="00537409">
        <w:t xml:space="preserve">, </w:t>
      </w:r>
      <w:r w:rsidRPr="00537409">
        <w:rPr>
          <w:b/>
          <w:bCs/>
        </w:rPr>
        <w:t>2026</w:t>
      </w:r>
      <w:r w:rsidRPr="00537409">
        <w:t xml:space="preserve">, </w:t>
      </w:r>
      <w:r w:rsidR="001D538C" w:rsidRPr="001D538C">
        <w:t>25, 799–807</w:t>
      </w:r>
      <w:r w:rsidR="001D538C">
        <w:t xml:space="preserve">, DOI: </w:t>
      </w:r>
      <w:r w:rsidR="001D538C" w:rsidRPr="001D538C">
        <w:t>10.1038/s41563-026-02514-9</w:t>
      </w:r>
      <w:r w:rsidR="001D538C">
        <w:t>.</w:t>
      </w:r>
    </w:p>
    <w:p w14:paraId="3CF32F52" w14:textId="65F9AE38" w:rsidR="0085789E" w:rsidRPr="00537409" w:rsidRDefault="0085789E" w:rsidP="0085789E">
      <w:pPr>
        <w:widowControl/>
        <w:numPr>
          <w:ilvl w:val="0"/>
          <w:numId w:val="1"/>
        </w:numPr>
        <w:tabs>
          <w:tab w:val="left" w:pos="4962"/>
        </w:tabs>
        <w:jc w:val="both"/>
      </w:pPr>
      <w:r w:rsidRPr="00537409">
        <w:t>R. Martínez-</w:t>
      </w:r>
      <w:proofErr w:type="spellStart"/>
      <w:r w:rsidRPr="00537409">
        <w:t>Hincapié</w:t>
      </w:r>
      <w:proofErr w:type="spellEnd"/>
      <w:r w:rsidRPr="00537409">
        <w:t xml:space="preserve">, J. Timoshenko, T. Wagner, E. Ortega, J. Druce, M. C. O. Monteiro, M. </w:t>
      </w:r>
      <w:proofErr w:type="spellStart"/>
      <w:r w:rsidRPr="00537409">
        <w:t>Rüscher</w:t>
      </w:r>
      <w:proofErr w:type="spellEnd"/>
      <w:r w:rsidRPr="00537409">
        <w:t xml:space="preserve">, J. Jang, E. Ö. Alagöz, S. Lasagna, L. Jacobse, A. Bergmann, B. R. </w:t>
      </w:r>
      <w:proofErr w:type="spellStart"/>
      <w:r w:rsidRPr="00537409">
        <w:t>Cuenya</w:t>
      </w:r>
      <w:proofErr w:type="spellEnd"/>
      <w:r w:rsidRPr="00537409">
        <w:t xml:space="preserve">, S. Z. Oener, </w:t>
      </w:r>
      <w:r w:rsidRPr="00537409">
        <w:rPr>
          <w:i/>
          <w:iCs/>
        </w:rPr>
        <w:t>Nat. Chem.</w:t>
      </w:r>
      <w:r w:rsidRPr="00537409">
        <w:t xml:space="preserve">, </w:t>
      </w:r>
      <w:r w:rsidRPr="00537409">
        <w:rPr>
          <w:b/>
          <w:bCs/>
        </w:rPr>
        <w:t>2025</w:t>
      </w:r>
      <w:r w:rsidRPr="00537409">
        <w:t>, 18, 835-843</w:t>
      </w:r>
      <w:r w:rsidR="001D538C">
        <w:t xml:space="preserve">, DOI: </w:t>
      </w:r>
      <w:r w:rsidR="001D538C" w:rsidRPr="001D538C">
        <w:t>10.1038/s41557-025-01932-7</w:t>
      </w:r>
      <w:r w:rsidRPr="00537409">
        <w:t>.</w:t>
      </w:r>
    </w:p>
    <w:p w14:paraId="680B32F0" w14:textId="210C6566" w:rsidR="00F001B6" w:rsidRPr="003546A7" w:rsidRDefault="00F001B6" w:rsidP="0085789E">
      <w:pPr>
        <w:widowControl/>
        <w:numPr>
          <w:ilvl w:val="0"/>
          <w:numId w:val="1"/>
        </w:numPr>
        <w:tabs>
          <w:tab w:val="left" w:pos="4962"/>
        </w:tabs>
        <w:jc w:val="both"/>
      </w:pPr>
      <w:r w:rsidRPr="003546A7">
        <w:t xml:space="preserve">Rocha, F. de </w:t>
      </w:r>
      <w:proofErr w:type="spellStart"/>
      <w:r w:rsidRPr="003546A7">
        <w:t>Radiguès</w:t>
      </w:r>
      <w:proofErr w:type="spellEnd"/>
      <w:r w:rsidRPr="003546A7">
        <w:t xml:space="preserve">, Q., </w:t>
      </w:r>
      <w:proofErr w:type="spellStart"/>
      <w:r w:rsidRPr="003546A7">
        <w:t>Thunis</w:t>
      </w:r>
      <w:proofErr w:type="spellEnd"/>
      <w:r w:rsidRPr="003546A7">
        <w:t xml:space="preserve">, G., Proost, J., </w:t>
      </w:r>
      <w:proofErr w:type="spellStart"/>
      <w:r w:rsidRPr="0085789E">
        <w:rPr>
          <w:i/>
          <w:iCs/>
        </w:rPr>
        <w:t>Electrochim</w:t>
      </w:r>
      <w:proofErr w:type="spellEnd"/>
      <w:r w:rsidRPr="0085789E">
        <w:rPr>
          <w:i/>
          <w:iCs/>
        </w:rPr>
        <w:t>. Acta,</w:t>
      </w:r>
      <w:r w:rsidRPr="003546A7">
        <w:t xml:space="preserve"> </w:t>
      </w:r>
      <w:r w:rsidRPr="0085789E">
        <w:rPr>
          <w:b/>
          <w:bCs/>
        </w:rPr>
        <w:t>2021</w:t>
      </w:r>
      <w:r w:rsidRPr="003546A7">
        <w:t>, 277, 138052</w:t>
      </w:r>
      <w:r w:rsidR="001D538C">
        <w:t xml:space="preserve">, DOI: </w:t>
      </w:r>
      <w:r w:rsidR="001D538C" w:rsidRPr="001D538C">
        <w:t>10.1016/j.electacta.2021.138052</w:t>
      </w:r>
      <w:r w:rsidRPr="003546A7">
        <w:t>.</w:t>
      </w:r>
    </w:p>
    <w:p w14:paraId="26856F4A" w14:textId="6F60126D" w:rsidR="00F001B6" w:rsidRPr="002F65F5" w:rsidRDefault="00E105C5" w:rsidP="007169D1">
      <w:pPr>
        <w:widowControl/>
        <w:numPr>
          <w:ilvl w:val="0"/>
          <w:numId w:val="1"/>
        </w:numPr>
        <w:tabs>
          <w:tab w:val="left" w:pos="4962"/>
        </w:tabs>
        <w:jc w:val="both"/>
      </w:pPr>
      <w:r w:rsidRPr="002F65F5">
        <w:t xml:space="preserve">D. B. </w:t>
      </w:r>
      <w:r w:rsidR="00A8053C" w:rsidRPr="002F65F5">
        <w:t>Trimarco,</w:t>
      </w:r>
      <w:r w:rsidRPr="002F65F5">
        <w:t xml:space="preserve"> </w:t>
      </w:r>
      <w:r w:rsidR="00A8053C" w:rsidRPr="002F65F5">
        <w:t xml:space="preserve"> </w:t>
      </w:r>
      <w:r w:rsidRPr="002F65F5">
        <w:t xml:space="preserve">S. B. Scott, A. H. Thilsted, J. Y. Pan, T. Pedersen, O. Hansen, I. Chorkendorff, P. C. K. Vesborg, </w:t>
      </w:r>
      <w:proofErr w:type="spellStart"/>
      <w:r w:rsidRPr="002F65F5">
        <w:rPr>
          <w:i/>
          <w:iCs/>
        </w:rPr>
        <w:t>Electrochim</w:t>
      </w:r>
      <w:proofErr w:type="spellEnd"/>
      <w:r w:rsidRPr="002F65F5">
        <w:rPr>
          <w:i/>
          <w:iCs/>
        </w:rPr>
        <w:t>. Acta</w:t>
      </w:r>
      <w:r w:rsidRPr="002F65F5">
        <w:t xml:space="preserve">, </w:t>
      </w:r>
      <w:r w:rsidRPr="002F65F5">
        <w:rPr>
          <w:b/>
          <w:bCs/>
        </w:rPr>
        <w:t>2018</w:t>
      </w:r>
      <w:r w:rsidRPr="002F65F5">
        <w:t>, 268, 520-530</w:t>
      </w:r>
      <w:r w:rsidR="001D538C">
        <w:t xml:space="preserve">, DOI: </w:t>
      </w:r>
      <w:r w:rsidR="001D538C" w:rsidRPr="001D538C">
        <w:t>10.1016/j.electacta.2018.02.060</w:t>
      </w:r>
      <w:r w:rsidRPr="002F65F5">
        <w:t>.</w:t>
      </w:r>
    </w:p>
    <w:p w14:paraId="0C0F3B60" w14:textId="77777777" w:rsidR="007169D1" w:rsidRDefault="007169D1" w:rsidP="00E0716D">
      <w:pPr>
        <w:jc w:val="both"/>
      </w:pPr>
    </w:p>
    <w:sectPr w:rsidR="007169D1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936A6C"/>
    <w:multiLevelType w:val="hybridMultilevel"/>
    <w:tmpl w:val="DA56C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35541F"/>
    <w:multiLevelType w:val="singleLevel"/>
    <w:tmpl w:val="F1387B4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" w15:restartNumberingAfterBreak="0">
    <w:nsid w:val="4E57157D"/>
    <w:multiLevelType w:val="hybridMultilevel"/>
    <w:tmpl w:val="0D6435FA"/>
    <w:lvl w:ilvl="0" w:tplc="F29E1F4C">
      <w:start w:val="42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84819524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" w16cid:durableId="745419078">
    <w:abstractNumId w:val="0"/>
  </w:num>
  <w:num w:numId="3" w16cid:durableId="12353571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004"/>
    <w:rsid w:val="00041EFD"/>
    <w:rsid w:val="0006294C"/>
    <w:rsid w:val="000E1545"/>
    <w:rsid w:val="000F2DC5"/>
    <w:rsid w:val="0012702E"/>
    <w:rsid w:val="001422A0"/>
    <w:rsid w:val="00172420"/>
    <w:rsid w:val="0019015B"/>
    <w:rsid w:val="001B0DFF"/>
    <w:rsid w:val="001C3C0D"/>
    <w:rsid w:val="001D538C"/>
    <w:rsid w:val="002222C4"/>
    <w:rsid w:val="002237BE"/>
    <w:rsid w:val="0026497D"/>
    <w:rsid w:val="0027389E"/>
    <w:rsid w:val="002805CC"/>
    <w:rsid w:val="002F65F5"/>
    <w:rsid w:val="00325004"/>
    <w:rsid w:val="003272BA"/>
    <w:rsid w:val="003546A7"/>
    <w:rsid w:val="00375824"/>
    <w:rsid w:val="003D4A1B"/>
    <w:rsid w:val="003F7458"/>
    <w:rsid w:val="00405C9F"/>
    <w:rsid w:val="0041416D"/>
    <w:rsid w:val="004942A0"/>
    <w:rsid w:val="004B018C"/>
    <w:rsid w:val="004C2628"/>
    <w:rsid w:val="00536366"/>
    <w:rsid w:val="00546DDD"/>
    <w:rsid w:val="005B3851"/>
    <w:rsid w:val="005B7BA1"/>
    <w:rsid w:val="005C736B"/>
    <w:rsid w:val="005E21CB"/>
    <w:rsid w:val="005F67E9"/>
    <w:rsid w:val="005F70D7"/>
    <w:rsid w:val="00607945"/>
    <w:rsid w:val="00616000"/>
    <w:rsid w:val="00644D54"/>
    <w:rsid w:val="00685C1A"/>
    <w:rsid w:val="007169D1"/>
    <w:rsid w:val="007378DA"/>
    <w:rsid w:val="00744817"/>
    <w:rsid w:val="00762BDC"/>
    <w:rsid w:val="007A52A3"/>
    <w:rsid w:val="007E6486"/>
    <w:rsid w:val="0085789E"/>
    <w:rsid w:val="00857D60"/>
    <w:rsid w:val="00872FFB"/>
    <w:rsid w:val="008B104E"/>
    <w:rsid w:val="008E10B3"/>
    <w:rsid w:val="00976540"/>
    <w:rsid w:val="009B6BFC"/>
    <w:rsid w:val="009C53A2"/>
    <w:rsid w:val="009F0B0D"/>
    <w:rsid w:val="00A64F19"/>
    <w:rsid w:val="00A8053C"/>
    <w:rsid w:val="00A84F2C"/>
    <w:rsid w:val="00AB7D2E"/>
    <w:rsid w:val="00BD1F0D"/>
    <w:rsid w:val="00C5032B"/>
    <w:rsid w:val="00CC6BDD"/>
    <w:rsid w:val="00D226B0"/>
    <w:rsid w:val="00D52CF4"/>
    <w:rsid w:val="00D80519"/>
    <w:rsid w:val="00DC53BD"/>
    <w:rsid w:val="00E023D8"/>
    <w:rsid w:val="00E04AF2"/>
    <w:rsid w:val="00E0716D"/>
    <w:rsid w:val="00E105C5"/>
    <w:rsid w:val="00E34946"/>
    <w:rsid w:val="00E92EDE"/>
    <w:rsid w:val="00ED6BDC"/>
    <w:rsid w:val="00F001B6"/>
    <w:rsid w:val="00F434E5"/>
    <w:rsid w:val="00F573C2"/>
    <w:rsid w:val="00F9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E04AF74"/>
  <w14:defaultImageDpi w14:val="300"/>
  <w15:docId w15:val="{C5582928-7C3B-8B4B-AD48-984DC0A54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16D"/>
    <w:pPr>
      <w:widowControl w:val="0"/>
    </w:pPr>
    <w:rPr>
      <w:snapToGrid w:val="0"/>
    </w:rPr>
  </w:style>
  <w:style w:type="paragraph" w:styleId="Heading4">
    <w:name w:val="heading 4"/>
    <w:basedOn w:val="Normal"/>
    <w:next w:val="Normal"/>
    <w:link w:val="Heading4Char"/>
    <w:unhideWhenUsed/>
    <w:qFormat/>
    <w:rsid w:val="007169D1"/>
    <w:pPr>
      <w:keepNext/>
      <w:widowControl/>
      <w:spacing w:before="240" w:after="60"/>
      <w:outlineLvl w:val="3"/>
    </w:pPr>
    <w:rPr>
      <w:rFonts w:ascii="Calibri" w:hAnsi="Calibri"/>
      <w:b/>
      <w:bCs/>
      <w:snapToGrid/>
      <w:sz w:val="28"/>
      <w:szCs w:val="28"/>
      <w:lang w:eastAsia="fr-F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7169D1"/>
    <w:rPr>
      <w:rFonts w:ascii="Calibri" w:hAnsi="Calibri"/>
      <w:b/>
      <w:bCs/>
      <w:sz w:val="28"/>
      <w:szCs w:val="28"/>
      <w:lang w:eastAsia="fr-FR"/>
    </w:rPr>
  </w:style>
  <w:style w:type="character" w:customStyle="1" w:styleId="author">
    <w:name w:val="author"/>
    <w:basedOn w:val="DefaultParagraphFont"/>
    <w:rsid w:val="007169D1"/>
  </w:style>
  <w:style w:type="character" w:customStyle="1" w:styleId="pubyear">
    <w:name w:val="pubyear"/>
    <w:basedOn w:val="DefaultParagraphFont"/>
    <w:rsid w:val="007169D1"/>
  </w:style>
  <w:style w:type="character" w:customStyle="1" w:styleId="vol">
    <w:name w:val="vol"/>
    <w:basedOn w:val="DefaultParagraphFont"/>
    <w:rsid w:val="007169D1"/>
  </w:style>
  <w:style w:type="character" w:styleId="Emphasis">
    <w:name w:val="Emphasis"/>
    <w:basedOn w:val="DefaultParagraphFont"/>
    <w:uiPriority w:val="20"/>
    <w:qFormat/>
    <w:rsid w:val="007169D1"/>
    <w:rPr>
      <w:i/>
      <w:iCs/>
    </w:rPr>
  </w:style>
  <w:style w:type="paragraph" w:styleId="ListParagraph">
    <w:name w:val="List Paragraph"/>
    <w:basedOn w:val="Normal"/>
    <w:uiPriority w:val="34"/>
    <w:qFormat/>
    <w:rsid w:val="00744817"/>
    <w:pPr>
      <w:widowControl/>
      <w:ind w:left="720"/>
      <w:contextualSpacing/>
    </w:pPr>
    <w:rPr>
      <w:rFonts w:ascii="Calibri" w:eastAsiaTheme="minorHAnsi" w:hAnsi="Calibri" w:cs="Times New Roman (Body CS)"/>
      <w:snapToGrid/>
      <w:kern w:val="2"/>
      <w:sz w:val="22"/>
      <w:szCs w:val="24"/>
      <w14:ligatures w14:val="standardContextual"/>
    </w:rPr>
  </w:style>
  <w:style w:type="character" w:styleId="CommentReference">
    <w:name w:val="annotation reference"/>
    <w:basedOn w:val="DefaultParagraphFont"/>
    <w:uiPriority w:val="99"/>
    <w:semiHidden/>
    <w:unhideWhenUsed/>
    <w:rsid w:val="001270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2702E"/>
  </w:style>
  <w:style w:type="character" w:customStyle="1" w:styleId="CommentTextChar">
    <w:name w:val="Comment Text Char"/>
    <w:basedOn w:val="DefaultParagraphFont"/>
    <w:link w:val="CommentText"/>
    <w:uiPriority w:val="99"/>
    <w:rsid w:val="0012702E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70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702E"/>
    <w:rPr>
      <w:b/>
      <w:bCs/>
      <w:snapToGrid w:val="0"/>
    </w:rPr>
  </w:style>
  <w:style w:type="character" w:styleId="Hyperlink">
    <w:name w:val="Hyperlink"/>
    <w:basedOn w:val="DefaultParagraphFont"/>
    <w:uiPriority w:val="99"/>
    <w:unhideWhenUsed/>
    <w:rsid w:val="005C736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736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92EDE"/>
    <w:rPr>
      <w:snapToGrid w:val="0"/>
    </w:rPr>
  </w:style>
  <w:style w:type="character" w:customStyle="1" w:styleId="apple-converted-space">
    <w:name w:val="apple-converted-space"/>
    <w:basedOn w:val="DefaultParagraphFont"/>
    <w:rsid w:val="002F65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F75F3DB-691A-C347-ADAF-3E8213E7D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627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Electrochemical Society</Company>
  <LinksUpToDate>false</LinksUpToDate>
  <CharactersWithSpaces>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Molly E Vitale-Sullivan</cp:lastModifiedBy>
  <cp:revision>3</cp:revision>
  <cp:lastPrinted>2013-10-21T12:07:00Z</cp:lastPrinted>
  <dcterms:created xsi:type="dcterms:W3CDTF">2026-05-31T16:45:00Z</dcterms:created>
  <dcterms:modified xsi:type="dcterms:W3CDTF">2026-05-31T17:34:00Z</dcterms:modified>
</cp:coreProperties>
</file>