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B40C4" w14:textId="26F55EAF" w:rsidR="00325004" w:rsidRPr="00A86EB9" w:rsidRDefault="00E10303" w:rsidP="00F84A2B">
      <w:pPr>
        <w:widowControl/>
        <w:autoSpaceDE w:val="0"/>
        <w:autoSpaceDN w:val="0"/>
        <w:adjustRightInd w:val="0"/>
        <w:rPr>
          <w:b/>
          <w:sz w:val="28"/>
        </w:rPr>
      </w:pPr>
      <w:r w:rsidRPr="00E10303">
        <w:rPr>
          <w:b/>
          <w:sz w:val="28"/>
        </w:rPr>
        <w:t>Operando Studies of High Entropy Disordered Rocksalt Oxyfluoride Cathode</w:t>
      </w:r>
      <w:r>
        <w:rPr>
          <w:b/>
          <w:sz w:val="28"/>
        </w:rPr>
        <w:t xml:space="preserve"> </w:t>
      </w:r>
      <w:r w:rsidRPr="00E10303">
        <w:rPr>
          <w:b/>
          <w:sz w:val="28"/>
        </w:rPr>
        <w:t>for Li-ion batteries</w:t>
      </w:r>
    </w:p>
    <w:p w14:paraId="0AF096A4" w14:textId="2062D80C" w:rsidR="00325004" w:rsidRDefault="00F84A2B" w:rsidP="00E0716D">
      <w:pPr>
        <w:jc w:val="center"/>
      </w:pPr>
      <w:r>
        <w:rPr>
          <w:u w:val="single"/>
        </w:rPr>
        <w:t>Qingsong Wang</w:t>
      </w:r>
    </w:p>
    <w:p w14:paraId="235A333A" w14:textId="77777777" w:rsidR="00F84A2B" w:rsidRDefault="00F84A2B" w:rsidP="00F84A2B">
      <w:pPr>
        <w:jc w:val="center"/>
      </w:pPr>
      <w:r>
        <w:rPr>
          <w:i/>
        </w:rPr>
        <w:t>Bavarian Center for Battery Technology (</w:t>
      </w:r>
      <w:proofErr w:type="spellStart"/>
      <w:r>
        <w:rPr>
          <w:i/>
        </w:rPr>
        <w:t>BayBatt</w:t>
      </w:r>
      <w:proofErr w:type="spellEnd"/>
      <w:r>
        <w:rPr>
          <w:i/>
        </w:rPr>
        <w:t>), University of Bayreuth</w:t>
      </w:r>
    </w:p>
    <w:p w14:paraId="566BF4E9" w14:textId="77777777" w:rsidR="00F84A2B" w:rsidRPr="00F84A2B" w:rsidRDefault="00F84A2B" w:rsidP="00F84A2B">
      <w:pPr>
        <w:jc w:val="center"/>
        <w:rPr>
          <w:lang w:val="de-DE"/>
        </w:rPr>
      </w:pPr>
      <w:r w:rsidRPr="00F84A2B">
        <w:rPr>
          <w:i/>
          <w:lang w:val="de-DE"/>
        </w:rPr>
        <w:t>Weiherstraße 26, 95448 Bayreuth, Germany</w:t>
      </w:r>
    </w:p>
    <w:p w14:paraId="4A40F0E8" w14:textId="52336851" w:rsidR="00685C1A" w:rsidRPr="00F84A2B" w:rsidRDefault="00F84A2B" w:rsidP="00E0716D">
      <w:pPr>
        <w:jc w:val="center"/>
        <w:rPr>
          <w:i/>
          <w:lang w:val="de-DE"/>
        </w:rPr>
      </w:pPr>
      <w:hyperlink r:id="rId4" w:history="1">
        <w:r w:rsidRPr="00F84A2B">
          <w:rPr>
            <w:rStyle w:val="Hyperlink"/>
            <w:i/>
            <w:lang w:val="de-DE"/>
          </w:rPr>
          <w:t>qingsong.wang@uni-bayreuth.de</w:t>
        </w:r>
      </w:hyperlink>
    </w:p>
    <w:p w14:paraId="7FEB6DB2" w14:textId="77777777" w:rsidR="00F84A2B" w:rsidRPr="00F84A2B" w:rsidRDefault="00F84A2B" w:rsidP="00E0716D">
      <w:pPr>
        <w:jc w:val="center"/>
        <w:rPr>
          <w:i/>
          <w:lang w:val="de-DE"/>
        </w:rPr>
      </w:pPr>
    </w:p>
    <w:p w14:paraId="44B870DF" w14:textId="1A06BF9F" w:rsidR="00F84A2B" w:rsidRDefault="00E10303" w:rsidP="00E10303">
      <w:pPr>
        <w:jc w:val="both"/>
      </w:pPr>
      <w:r w:rsidRPr="00E10303">
        <w:t>Rechargeable batteries play a crucial role in the transition of a modern society towards carbon</w:t>
      </w:r>
      <w:r>
        <w:t xml:space="preserve"> </w:t>
      </w:r>
      <w:r w:rsidRPr="00E10303">
        <w:t xml:space="preserve">neutralization. The growing </w:t>
      </w:r>
      <w:r w:rsidR="00F84A2B" w:rsidRPr="00E10303">
        <w:t>demand</w:t>
      </w:r>
      <w:r w:rsidRPr="00E10303">
        <w:t xml:space="preserve"> for energy storage </w:t>
      </w:r>
      <w:r w:rsidR="00F84A2B" w:rsidRPr="00E10303">
        <w:t>has</w:t>
      </w:r>
      <w:r w:rsidRPr="00E10303">
        <w:t xml:space="preserve"> driven the rapid </w:t>
      </w:r>
      <w:r w:rsidR="00F84A2B" w:rsidRPr="00E10303">
        <w:t>development of</w:t>
      </w:r>
      <w:r>
        <w:t xml:space="preserve"> </w:t>
      </w:r>
      <w:r w:rsidRPr="00E10303">
        <w:t>Li-ion</w:t>
      </w:r>
      <w:r>
        <w:t xml:space="preserve"> </w:t>
      </w:r>
      <w:r w:rsidRPr="00E10303">
        <w:t xml:space="preserve">batteries. The performance and cost of Li-ion batteries are largely determined by </w:t>
      </w:r>
      <w:r w:rsidR="00F84A2B" w:rsidRPr="00E10303">
        <w:t>cathodes</w:t>
      </w:r>
      <w:r w:rsidRPr="00E10303">
        <w:t>,</w:t>
      </w:r>
      <w:r>
        <w:t xml:space="preserve"> </w:t>
      </w:r>
      <w:r w:rsidRPr="00E10303">
        <w:t>conventionally made from layered transition metal (TM) oxides. Lithium layered</w:t>
      </w:r>
      <w:r>
        <w:t xml:space="preserve"> </w:t>
      </w:r>
      <w:r w:rsidRPr="00E10303">
        <w:t>oxides enable the easy diffusion of Li</w:t>
      </w:r>
      <w:r w:rsidRPr="00F84A2B">
        <w:rPr>
          <w:vertAlign w:val="superscript"/>
        </w:rPr>
        <w:t>+</w:t>
      </w:r>
      <w:r w:rsidRPr="00E10303">
        <w:t xml:space="preserve"> ions in and out of the two-dimensional Li layers.</w:t>
      </w:r>
      <w:r>
        <w:t xml:space="preserve"> </w:t>
      </w:r>
      <w:r w:rsidRPr="00E10303">
        <w:t>However, the composition of traditional cathodes has been limited to Ni, Mn and Co-based</w:t>
      </w:r>
      <w:r>
        <w:t xml:space="preserve"> </w:t>
      </w:r>
      <w:r w:rsidRPr="00E10303">
        <w:t>layered oxides, which raises concern on the cost and environmental sustainability. The</w:t>
      </w:r>
      <w:r>
        <w:t xml:space="preserve"> </w:t>
      </w:r>
      <w:r w:rsidRPr="00E10303">
        <w:t>discovery of Li</w:t>
      </w:r>
      <w:r w:rsidRPr="00F84A2B">
        <w:rPr>
          <w:vertAlign w:val="superscript"/>
        </w:rPr>
        <w:t>+</w:t>
      </w:r>
      <w:r w:rsidRPr="00E10303">
        <w:t xml:space="preserve"> ions percolation (three-dimensional network for Li</w:t>
      </w:r>
      <w:r w:rsidRPr="00F84A2B">
        <w:rPr>
          <w:vertAlign w:val="superscript"/>
        </w:rPr>
        <w:t>+</w:t>
      </w:r>
      <w:r w:rsidRPr="00E10303">
        <w:t xml:space="preserve"> ions transportation) in</w:t>
      </w:r>
      <w:r>
        <w:t xml:space="preserve"> </w:t>
      </w:r>
      <w:r w:rsidRPr="00E10303">
        <w:t xml:space="preserve">cation-disordered </w:t>
      </w:r>
      <w:proofErr w:type="spellStart"/>
      <w:r w:rsidRPr="00E10303">
        <w:t>rocksalts</w:t>
      </w:r>
      <w:proofErr w:type="spellEnd"/>
      <w:r w:rsidRPr="00E10303">
        <w:t xml:space="preserve"> (DRX) expands the structural space for cathode materials</w:t>
      </w:r>
      <w:r>
        <w:t xml:space="preserve"> </w:t>
      </w:r>
      <w:r w:rsidRPr="00E10303">
        <w:t>extending it to different transitional metals.[1] Both the layered and disordered oxides are built</w:t>
      </w:r>
      <w:r>
        <w:t xml:space="preserve"> </w:t>
      </w:r>
      <w:r w:rsidRPr="00E10303">
        <w:t>on close-packed oxygen lattice, in which the Li</w:t>
      </w:r>
      <w:r w:rsidRPr="00F84A2B">
        <w:rPr>
          <w:vertAlign w:val="superscript"/>
        </w:rPr>
        <w:t>+</w:t>
      </w:r>
      <w:r w:rsidRPr="00E10303">
        <w:t xml:space="preserve"> ion diffusion occurs from an octahedral site</w:t>
      </w:r>
      <w:r>
        <w:t xml:space="preserve"> </w:t>
      </w:r>
      <w:r w:rsidRPr="00E10303">
        <w:t>in the</w:t>
      </w:r>
      <w:r>
        <w:t xml:space="preserve"> </w:t>
      </w:r>
      <w:r w:rsidRPr="00E10303">
        <w:t>oxygen framework into a neighboring interstitial tetrahedral site, crossing the shared</w:t>
      </w:r>
      <w:r>
        <w:t xml:space="preserve"> </w:t>
      </w:r>
      <w:r w:rsidRPr="00E10303">
        <w:t>octahedral</w:t>
      </w:r>
      <w:r>
        <w:t xml:space="preserve"> </w:t>
      </w:r>
      <w:r w:rsidRPr="00E10303">
        <w:t>tetrahedral face. Since the octahedral sites are energetically more favorable for</w:t>
      </w:r>
      <w:r>
        <w:t xml:space="preserve"> </w:t>
      </w:r>
      <w:r w:rsidRPr="00E10303">
        <w:t>residing Li</w:t>
      </w:r>
      <w:r w:rsidRPr="00F84A2B">
        <w:rPr>
          <w:vertAlign w:val="superscript"/>
        </w:rPr>
        <w:t>+</w:t>
      </w:r>
      <w:r w:rsidRPr="00E10303">
        <w:t xml:space="preserve"> ions, the</w:t>
      </w:r>
      <w:r>
        <w:t xml:space="preserve"> </w:t>
      </w:r>
      <w:r w:rsidRPr="00E10303">
        <w:t>diffusing Li</w:t>
      </w:r>
      <w:r w:rsidRPr="00F84A2B">
        <w:rPr>
          <w:vertAlign w:val="superscript"/>
        </w:rPr>
        <w:t>+</w:t>
      </w:r>
      <w:r w:rsidRPr="00E10303">
        <w:t xml:space="preserve"> </w:t>
      </w:r>
      <w:proofErr w:type="gramStart"/>
      <w:r w:rsidRPr="00E10303">
        <w:t>ion</w:t>
      </w:r>
      <w:proofErr w:type="gramEnd"/>
      <w:r w:rsidRPr="00E10303">
        <w:t xml:space="preserve"> then moves to a new octahedral site via another shared</w:t>
      </w:r>
      <w:r>
        <w:t xml:space="preserve"> </w:t>
      </w:r>
      <w:r w:rsidRPr="00E10303">
        <w:t>octahedral-tetrahedral face. This</w:t>
      </w:r>
      <w:r>
        <w:t xml:space="preserve"> </w:t>
      </w:r>
      <w:r w:rsidRPr="00E10303">
        <w:t>process follows the so-called ``oct-</w:t>
      </w:r>
      <w:proofErr w:type="spellStart"/>
      <w:r w:rsidRPr="00E10303">
        <w:t>tet</w:t>
      </w:r>
      <w:proofErr w:type="spellEnd"/>
      <w:r w:rsidRPr="00E10303">
        <w:t>-oct`` hopping pathway.</w:t>
      </w:r>
      <w:r>
        <w:t xml:space="preserve"> </w:t>
      </w:r>
      <w:r w:rsidRPr="00E10303">
        <w:t>Guided by theoretical modeling, the percolating network in DRX is formed by the connection</w:t>
      </w:r>
      <w:r>
        <w:t xml:space="preserve"> </w:t>
      </w:r>
      <w:r w:rsidRPr="00E10303">
        <w:t>of 0 -TM Li</w:t>
      </w:r>
      <w:r w:rsidRPr="00F84A2B">
        <w:rPr>
          <w:vertAlign w:val="superscript"/>
        </w:rPr>
        <w:t>+</w:t>
      </w:r>
      <w:r w:rsidRPr="00E10303">
        <w:t xml:space="preserve"> ion diffusion channels, in which the TM is absent in octahedra that </w:t>
      </w:r>
      <w:proofErr w:type="gramStart"/>
      <w:r w:rsidRPr="00E10303">
        <w:t>share</w:t>
      </w:r>
      <w:proofErr w:type="gramEnd"/>
      <w:r w:rsidRPr="00E10303">
        <w:t xml:space="preserve"> faces</w:t>
      </w:r>
      <w:r>
        <w:t xml:space="preserve"> </w:t>
      </w:r>
      <w:r w:rsidRPr="00E10303">
        <w:t>with the activated tetrahedron. By removing the requirement of the layered structure and</w:t>
      </w:r>
      <w:r>
        <w:t xml:space="preserve"> </w:t>
      </w:r>
      <w:r w:rsidRPr="00E10303">
        <w:t>breaking the restrictions on element selection, a broader range of transition metals can now</w:t>
      </w:r>
      <w:r>
        <w:t xml:space="preserve"> </w:t>
      </w:r>
      <w:r w:rsidRPr="00E10303">
        <w:t>serve as a redox reservoir.</w:t>
      </w:r>
      <w:r>
        <w:t xml:space="preserve"> </w:t>
      </w:r>
    </w:p>
    <w:p w14:paraId="30848CB4" w14:textId="0FF1E525" w:rsidR="00F84A2B" w:rsidRDefault="00E10303" w:rsidP="00E10303">
      <w:pPr>
        <w:jc w:val="both"/>
      </w:pPr>
      <w:r w:rsidRPr="00E10303">
        <w:t>The recent emerging high-entropy concept further</w:t>
      </w:r>
      <w:r>
        <w:t xml:space="preserve"> </w:t>
      </w:r>
      <w:r w:rsidRPr="00E10303">
        <w:t>enriches the chemical space of DRX. The</w:t>
      </w:r>
      <w:r>
        <w:t xml:space="preserve"> </w:t>
      </w:r>
      <w:r w:rsidRPr="00E10303">
        <w:t>complexity of high-entropy DRX, resulting from the random</w:t>
      </w:r>
      <w:r>
        <w:t xml:space="preserve"> </w:t>
      </w:r>
      <w:r w:rsidRPr="00E10303">
        <w:t>distribution of multiple cations,</w:t>
      </w:r>
      <w:r>
        <w:t xml:space="preserve"> </w:t>
      </w:r>
      <w:r w:rsidRPr="00E10303">
        <w:t>enables unique electrochemical properties, such as enhanced ionic conductivity and stability.</w:t>
      </w:r>
      <w:r>
        <w:t xml:space="preserve"> </w:t>
      </w:r>
      <w:r w:rsidRPr="00E10303">
        <w:t>Specifically, the presence of multiple elements (typically five or more) with different atomic</w:t>
      </w:r>
      <w:r>
        <w:t xml:space="preserve"> </w:t>
      </w:r>
      <w:r w:rsidRPr="00E10303">
        <w:t>radii are located at the same crystallographic sites, leading to local lattice distortion.[2] This</w:t>
      </w:r>
      <w:r>
        <w:t xml:space="preserve"> </w:t>
      </w:r>
      <w:r w:rsidRPr="00E10303">
        <w:t>site distortion can alter the Li</w:t>
      </w:r>
      <w:r w:rsidRPr="00F84A2B">
        <w:rPr>
          <w:vertAlign w:val="superscript"/>
        </w:rPr>
        <w:t>+</w:t>
      </w:r>
      <w:r w:rsidRPr="00E10303">
        <w:t xml:space="preserve"> ion migration barrier through tetrahedral sites, partial 1-TM</w:t>
      </w:r>
      <w:r>
        <w:t xml:space="preserve"> </w:t>
      </w:r>
      <w:r w:rsidRPr="00E10303">
        <w:t>channels</w:t>
      </w:r>
      <w:r>
        <w:t xml:space="preserve"> </w:t>
      </w:r>
      <w:r w:rsidRPr="00E10303">
        <w:t>are thereby activated and occasionally involved for facile Li</w:t>
      </w:r>
      <w:r w:rsidRPr="00F84A2B">
        <w:rPr>
          <w:vertAlign w:val="superscript"/>
        </w:rPr>
        <w:t>+</w:t>
      </w:r>
      <w:r w:rsidRPr="00E10303">
        <w:t xml:space="preserve"> ion diffusion.[3]</w:t>
      </w:r>
      <w:r>
        <w:t xml:space="preserve"> </w:t>
      </w:r>
      <w:r w:rsidRPr="00E10303">
        <w:t>Moreover, the DRX with</w:t>
      </w:r>
      <w:r>
        <w:t xml:space="preserve"> </w:t>
      </w:r>
      <w:r w:rsidRPr="00E10303">
        <w:t>high configurational entropy reduces the short-range order (SRO),</w:t>
      </w:r>
      <w:r>
        <w:t xml:space="preserve"> </w:t>
      </w:r>
      <w:r w:rsidRPr="00E10303">
        <w:t>which fosters Li</w:t>
      </w:r>
      <w:r w:rsidRPr="00F84A2B">
        <w:rPr>
          <w:vertAlign w:val="superscript"/>
        </w:rPr>
        <w:t>+</w:t>
      </w:r>
      <w:r w:rsidRPr="00E10303">
        <w:t xml:space="preserve"> ions percolation. The</w:t>
      </w:r>
      <w:r>
        <w:t xml:space="preserve"> </w:t>
      </w:r>
      <w:r w:rsidRPr="00E10303">
        <w:t>chemical SRO is often observed in disordered crystals</w:t>
      </w:r>
      <w:r>
        <w:t xml:space="preserve"> </w:t>
      </w:r>
      <w:r w:rsidRPr="00E10303">
        <w:t>as site occupancies are correlated with one another.</w:t>
      </w:r>
      <w:r>
        <w:t xml:space="preserve"> </w:t>
      </w:r>
      <w:r w:rsidRPr="00E10303">
        <w:t xml:space="preserve">Suppressing the unfavorable SRO </w:t>
      </w:r>
      <w:r w:rsidR="00F84A2B" w:rsidRPr="00E10303">
        <w:t>improves</w:t>
      </w:r>
      <w:r>
        <w:t xml:space="preserve"> </w:t>
      </w:r>
      <w:r w:rsidRPr="00E10303">
        <w:t>the capacity and overall performance of DRX cathode materials.[4]</w:t>
      </w:r>
      <w:r>
        <w:t xml:space="preserve"> </w:t>
      </w:r>
    </w:p>
    <w:p w14:paraId="62C7CB90" w14:textId="2A378F63" w:rsidR="00E10303" w:rsidRDefault="00E10303" w:rsidP="00E10303">
      <w:pPr>
        <w:jc w:val="both"/>
      </w:pPr>
      <w:r w:rsidRPr="00E10303">
        <w:t>However, to fully use of these benefits requires a thorough understanding of the underlying</w:t>
      </w:r>
      <w:r>
        <w:t xml:space="preserve"> </w:t>
      </w:r>
      <w:r w:rsidRPr="00E10303">
        <w:t xml:space="preserve">electrochemical reaction mechanisms, which govern the performance, reversibility, and </w:t>
      </w:r>
      <w:proofErr w:type="spellStart"/>
      <w:proofErr w:type="gramStart"/>
      <w:r w:rsidRPr="00E10303">
        <w:t>longterm</w:t>
      </w:r>
      <w:proofErr w:type="spellEnd"/>
      <w:proofErr w:type="gramEnd"/>
      <w:r>
        <w:t xml:space="preserve"> </w:t>
      </w:r>
      <w:r w:rsidRPr="00E10303">
        <w:t>stability</w:t>
      </w:r>
      <w:r>
        <w:t xml:space="preserve"> </w:t>
      </w:r>
      <w:r w:rsidRPr="00E10303">
        <w:t>of the high entropy cathode materials. In this study, the high-entropy oxyfluoride</w:t>
      </w:r>
      <w:r>
        <w:t xml:space="preserve"> </w:t>
      </w:r>
      <w:r w:rsidRPr="00E10303">
        <w:t>LiCo</w:t>
      </w:r>
      <w:r w:rsidRPr="00F84A2B">
        <w:rPr>
          <w:vertAlign w:val="subscript"/>
        </w:rPr>
        <w:t>0.2</w:t>
      </w:r>
      <w:r w:rsidRPr="00E10303">
        <w:t>Cu</w:t>
      </w:r>
      <w:r w:rsidRPr="00F84A2B">
        <w:rPr>
          <w:vertAlign w:val="subscript"/>
        </w:rPr>
        <w:t>0.2</w:t>
      </w:r>
      <w:r w:rsidRPr="00E10303">
        <w:t>Mg</w:t>
      </w:r>
      <w:r w:rsidRPr="00F84A2B">
        <w:rPr>
          <w:vertAlign w:val="subscript"/>
        </w:rPr>
        <w:t>0.2</w:t>
      </w:r>
      <w:r w:rsidRPr="00E10303">
        <w:t>Ni</w:t>
      </w:r>
      <w:r w:rsidRPr="00F84A2B">
        <w:rPr>
          <w:vertAlign w:val="subscript"/>
        </w:rPr>
        <w:t>0.2</w:t>
      </w:r>
      <w:r w:rsidRPr="00E10303">
        <w:t>Zn</w:t>
      </w:r>
      <w:r w:rsidRPr="00F84A2B">
        <w:rPr>
          <w:vertAlign w:val="subscript"/>
        </w:rPr>
        <w:t>0.2</w:t>
      </w:r>
      <w:r w:rsidRPr="00E10303">
        <w:t>OF was investigated as a cathode material for Li-ion batteries.</w:t>
      </w:r>
      <w:r>
        <w:t xml:space="preserve"> </w:t>
      </w:r>
      <w:r w:rsidRPr="00E10303">
        <w:t>The</w:t>
      </w:r>
      <w:r>
        <w:t xml:space="preserve"> </w:t>
      </w:r>
      <w:r w:rsidRPr="00E10303">
        <w:t>evolution of chemical environment of corresponding atoms during cycling was revealed</w:t>
      </w:r>
      <w:r>
        <w:t xml:space="preserve"> </w:t>
      </w:r>
      <w:r w:rsidRPr="00E10303">
        <w:t>by combination</w:t>
      </w:r>
      <w:r>
        <w:t xml:space="preserve"> </w:t>
      </w:r>
      <w:r w:rsidRPr="00E10303">
        <w:t>of ex situ and operando soft/hard XAS together with operando XRD. Notably,</w:t>
      </w:r>
      <w:r>
        <w:t xml:space="preserve"> </w:t>
      </w:r>
      <w:r w:rsidRPr="00E10303">
        <w:t>the incorporation of</w:t>
      </w:r>
      <w:r>
        <w:t xml:space="preserve"> </w:t>
      </w:r>
      <w:r w:rsidRPr="00E10303">
        <w:t>fluorine lowers the average anion valence (going from 2 in oxygen to 1 in</w:t>
      </w:r>
      <w:r>
        <w:t xml:space="preserve"> </w:t>
      </w:r>
      <w:r w:rsidRPr="00E10303">
        <w:t>fluorine), enabling lower valence metals (e.g. Cu</w:t>
      </w:r>
      <w:r w:rsidRPr="00F84A2B">
        <w:rPr>
          <w:vertAlign w:val="superscript"/>
        </w:rPr>
        <w:t>+</w:t>
      </w:r>
      <w:r w:rsidRPr="00E10303">
        <w:t>) that enlarge the cationic redox reservoir.</w:t>
      </w:r>
      <w:r>
        <w:t xml:space="preserve"> </w:t>
      </w:r>
      <w:r w:rsidRPr="00E10303">
        <w:t>The material demonstrated remarkable</w:t>
      </w:r>
      <w:r>
        <w:t xml:space="preserve"> </w:t>
      </w:r>
      <w:r w:rsidRPr="00E10303">
        <w:t>structural reversibility during electrochemical cycling,</w:t>
      </w:r>
      <w:r>
        <w:t xml:space="preserve"> </w:t>
      </w:r>
      <w:r w:rsidRPr="00E10303">
        <w:t>a critical factor for the long-term cycling stability and efficiency of battery performance.</w:t>
      </w:r>
    </w:p>
    <w:p w14:paraId="1F5680EC" w14:textId="77777777" w:rsidR="00F84A2B" w:rsidRDefault="00F84A2B" w:rsidP="00E10303">
      <w:pPr>
        <w:jc w:val="both"/>
      </w:pPr>
    </w:p>
    <w:p w14:paraId="0620EAE5" w14:textId="77777777" w:rsidR="00F84A2B" w:rsidRPr="00F84A2B" w:rsidRDefault="00F84A2B" w:rsidP="00F84A2B">
      <w:pPr>
        <w:widowControl/>
        <w:autoSpaceDE w:val="0"/>
        <w:autoSpaceDN w:val="0"/>
        <w:adjustRightInd w:val="0"/>
        <w:rPr>
          <w:rFonts w:ascii="TimesNewRomanPSMT" w:hAnsi="TimesNewRomanPSMT" w:cs="TimesNewRomanPSMT"/>
          <w:b/>
          <w:bCs/>
          <w:snapToGrid/>
        </w:rPr>
      </w:pPr>
      <w:r w:rsidRPr="00F84A2B">
        <w:rPr>
          <w:rFonts w:ascii="TimesNewRomanPSMT" w:hAnsi="TimesNewRomanPSMT" w:cs="TimesNewRomanPSMT"/>
          <w:b/>
          <w:bCs/>
          <w:snapToGrid/>
        </w:rPr>
        <w:t>References:</w:t>
      </w:r>
    </w:p>
    <w:p w14:paraId="37E008C4" w14:textId="77777777" w:rsidR="00F84A2B" w:rsidRPr="00F84A2B" w:rsidRDefault="00F84A2B" w:rsidP="00F84A2B">
      <w:pPr>
        <w:widowControl/>
        <w:autoSpaceDE w:val="0"/>
        <w:autoSpaceDN w:val="0"/>
        <w:adjustRightInd w:val="0"/>
        <w:rPr>
          <w:rFonts w:ascii="TimesNewRomanPSMT" w:hAnsi="TimesNewRomanPSMT" w:cs="TimesNewRomanPSMT"/>
          <w:snapToGrid/>
        </w:rPr>
      </w:pPr>
      <w:r w:rsidRPr="00F84A2B">
        <w:rPr>
          <w:rFonts w:ascii="TimesNewRomanPSMT" w:hAnsi="TimesNewRomanPSMT" w:cs="TimesNewRomanPSMT"/>
          <w:snapToGrid/>
        </w:rPr>
        <w:t xml:space="preserve">[1] J. Lee, et al., </w:t>
      </w:r>
      <w:r w:rsidRPr="00F84A2B">
        <w:rPr>
          <w:rFonts w:ascii="TimesNewRomanPS-ItalicMT" w:hAnsi="TimesNewRomanPS-ItalicMT" w:cs="TimesNewRomanPS-ItalicMT"/>
          <w:i/>
          <w:iCs/>
          <w:snapToGrid/>
        </w:rPr>
        <w:t xml:space="preserve">Science </w:t>
      </w:r>
      <w:r w:rsidRPr="00F84A2B">
        <w:rPr>
          <w:rFonts w:ascii="TimesNewRomanPS-BoldMT" w:hAnsi="TimesNewRomanPS-BoldMT" w:cs="TimesNewRomanPS-BoldMT"/>
          <w:b/>
          <w:bCs/>
          <w:snapToGrid/>
        </w:rPr>
        <w:t>2014</w:t>
      </w:r>
      <w:r w:rsidRPr="00F84A2B">
        <w:rPr>
          <w:rFonts w:ascii="TimesNewRomanPSMT" w:hAnsi="TimesNewRomanPSMT" w:cs="TimesNewRomanPSMT"/>
          <w:snapToGrid/>
        </w:rPr>
        <w:t xml:space="preserve">, </w:t>
      </w:r>
      <w:r w:rsidRPr="00F84A2B">
        <w:rPr>
          <w:rFonts w:ascii="TimesNewRomanPS-ItalicMT" w:hAnsi="TimesNewRomanPS-ItalicMT" w:cs="TimesNewRomanPS-ItalicMT"/>
          <w:i/>
          <w:iCs/>
          <w:snapToGrid/>
        </w:rPr>
        <w:t>343</w:t>
      </w:r>
      <w:r w:rsidRPr="00F84A2B">
        <w:rPr>
          <w:rFonts w:ascii="TimesNewRomanPSMT" w:hAnsi="TimesNewRomanPSMT" w:cs="TimesNewRomanPSMT"/>
          <w:snapToGrid/>
        </w:rPr>
        <w:t>, 519.</w:t>
      </w:r>
    </w:p>
    <w:p w14:paraId="28BD1C2C" w14:textId="77777777" w:rsidR="00F84A2B" w:rsidRPr="00F84A2B" w:rsidRDefault="00F84A2B" w:rsidP="00F84A2B">
      <w:pPr>
        <w:widowControl/>
        <w:autoSpaceDE w:val="0"/>
        <w:autoSpaceDN w:val="0"/>
        <w:adjustRightInd w:val="0"/>
        <w:rPr>
          <w:rFonts w:ascii="TimesNewRomanPSMT" w:hAnsi="TimesNewRomanPSMT" w:cs="TimesNewRomanPSMT"/>
          <w:snapToGrid/>
        </w:rPr>
      </w:pPr>
      <w:r w:rsidRPr="00F84A2B">
        <w:rPr>
          <w:rFonts w:ascii="TimesNewRomanPSMT" w:hAnsi="TimesNewRomanPSMT" w:cs="TimesNewRomanPSMT"/>
          <w:snapToGrid/>
        </w:rPr>
        <w:t xml:space="preserve">[2] Q. Wang, et al., </w:t>
      </w:r>
      <w:r w:rsidRPr="00F84A2B">
        <w:rPr>
          <w:rFonts w:ascii="TimesNewRomanPS-ItalicMT" w:hAnsi="TimesNewRomanPS-ItalicMT" w:cs="TimesNewRomanPS-ItalicMT"/>
          <w:i/>
          <w:iCs/>
          <w:snapToGrid/>
        </w:rPr>
        <w:t xml:space="preserve">Energy Environ. Sci. </w:t>
      </w:r>
      <w:r w:rsidRPr="00F84A2B">
        <w:rPr>
          <w:rFonts w:ascii="TimesNewRomanPS-BoldMT" w:hAnsi="TimesNewRomanPS-BoldMT" w:cs="TimesNewRomanPS-BoldMT"/>
          <w:b/>
          <w:bCs/>
          <w:snapToGrid/>
        </w:rPr>
        <w:t>2019</w:t>
      </w:r>
      <w:r w:rsidRPr="00F84A2B">
        <w:rPr>
          <w:rFonts w:ascii="TimesNewRomanPSMT" w:hAnsi="TimesNewRomanPSMT" w:cs="TimesNewRomanPSMT"/>
          <w:snapToGrid/>
        </w:rPr>
        <w:t xml:space="preserve">, </w:t>
      </w:r>
      <w:r w:rsidRPr="00F84A2B">
        <w:rPr>
          <w:rFonts w:ascii="TimesNewRomanPS-ItalicMT" w:hAnsi="TimesNewRomanPS-ItalicMT" w:cs="TimesNewRomanPS-ItalicMT"/>
          <w:i/>
          <w:iCs/>
          <w:snapToGrid/>
        </w:rPr>
        <w:t>12</w:t>
      </w:r>
      <w:r w:rsidRPr="00F84A2B">
        <w:rPr>
          <w:rFonts w:ascii="TimesNewRomanPSMT" w:hAnsi="TimesNewRomanPSMT" w:cs="TimesNewRomanPSMT"/>
          <w:snapToGrid/>
        </w:rPr>
        <w:t>, 2433.</w:t>
      </w:r>
    </w:p>
    <w:p w14:paraId="79EE9D12" w14:textId="77777777" w:rsidR="00F84A2B" w:rsidRPr="00F84A2B" w:rsidRDefault="00F84A2B" w:rsidP="00F84A2B">
      <w:pPr>
        <w:widowControl/>
        <w:autoSpaceDE w:val="0"/>
        <w:autoSpaceDN w:val="0"/>
        <w:adjustRightInd w:val="0"/>
        <w:rPr>
          <w:rFonts w:ascii="TimesNewRomanPSMT" w:hAnsi="TimesNewRomanPSMT" w:cs="TimesNewRomanPSMT"/>
          <w:snapToGrid/>
        </w:rPr>
      </w:pPr>
      <w:r w:rsidRPr="00F84A2B">
        <w:rPr>
          <w:rFonts w:ascii="TimesNewRomanPSMT" w:hAnsi="TimesNewRomanPSMT" w:cs="TimesNewRomanPSMT"/>
          <w:snapToGrid/>
        </w:rPr>
        <w:t xml:space="preserve">[3] B. Zhou et al., </w:t>
      </w:r>
      <w:r w:rsidRPr="00F84A2B">
        <w:rPr>
          <w:rFonts w:ascii="TimesNewRomanPS-ItalicMT" w:hAnsi="TimesNewRomanPS-ItalicMT" w:cs="TimesNewRomanPS-ItalicMT"/>
          <w:i/>
          <w:iCs/>
          <w:snapToGrid/>
        </w:rPr>
        <w:t xml:space="preserve">Small Struct. </w:t>
      </w:r>
      <w:r w:rsidRPr="00F84A2B">
        <w:rPr>
          <w:rFonts w:ascii="TimesNewRomanPS-BoldMT" w:hAnsi="TimesNewRomanPS-BoldMT" w:cs="TimesNewRomanPS-BoldMT"/>
          <w:b/>
          <w:bCs/>
          <w:snapToGrid/>
        </w:rPr>
        <w:t>2024</w:t>
      </w:r>
      <w:r w:rsidRPr="00F84A2B">
        <w:rPr>
          <w:rFonts w:ascii="TimesNewRomanPSMT" w:hAnsi="TimesNewRomanPSMT" w:cs="TimesNewRomanPSMT"/>
          <w:snapToGrid/>
        </w:rPr>
        <w:t>, 2400005.</w:t>
      </w:r>
    </w:p>
    <w:p w14:paraId="5F3C77E4" w14:textId="520CBA9E" w:rsidR="00F84A2B" w:rsidRPr="00F84A2B" w:rsidRDefault="00F84A2B" w:rsidP="00F84A2B">
      <w:pPr>
        <w:jc w:val="both"/>
      </w:pPr>
      <w:r w:rsidRPr="00F84A2B">
        <w:rPr>
          <w:rFonts w:ascii="TimesNewRomanPSMT" w:hAnsi="TimesNewRomanPSMT" w:cs="TimesNewRomanPSMT"/>
          <w:snapToGrid/>
        </w:rPr>
        <w:t xml:space="preserve">[4] R. J. Clément, et al., </w:t>
      </w:r>
      <w:r w:rsidRPr="00F84A2B">
        <w:rPr>
          <w:rFonts w:ascii="TimesNewRomanPS-ItalicMT" w:hAnsi="TimesNewRomanPS-ItalicMT" w:cs="TimesNewRomanPS-ItalicMT"/>
          <w:i/>
          <w:iCs/>
          <w:snapToGrid/>
        </w:rPr>
        <w:t xml:space="preserve">Energy Environ. Sci. </w:t>
      </w:r>
      <w:r w:rsidRPr="00F84A2B">
        <w:rPr>
          <w:rFonts w:ascii="TimesNewRomanPS-BoldMT" w:hAnsi="TimesNewRomanPS-BoldMT" w:cs="TimesNewRomanPS-BoldMT"/>
          <w:b/>
          <w:bCs/>
          <w:snapToGrid/>
        </w:rPr>
        <w:t>2020</w:t>
      </w:r>
      <w:r w:rsidRPr="00F84A2B">
        <w:rPr>
          <w:rFonts w:ascii="TimesNewRomanPSMT" w:hAnsi="TimesNewRomanPSMT" w:cs="TimesNewRomanPSMT"/>
          <w:snapToGrid/>
        </w:rPr>
        <w:t xml:space="preserve">, </w:t>
      </w:r>
      <w:r w:rsidRPr="00F84A2B">
        <w:rPr>
          <w:rFonts w:ascii="TimesNewRomanPS-ItalicMT" w:hAnsi="TimesNewRomanPS-ItalicMT" w:cs="TimesNewRomanPS-ItalicMT"/>
          <w:i/>
          <w:iCs/>
          <w:snapToGrid/>
        </w:rPr>
        <w:t>13</w:t>
      </w:r>
      <w:r w:rsidRPr="00F84A2B">
        <w:rPr>
          <w:rFonts w:ascii="TimesNewRomanPSMT" w:hAnsi="TimesNewRomanPSMT" w:cs="TimesNewRomanPSMT"/>
          <w:snapToGrid/>
        </w:rPr>
        <w:t>, 345.</w:t>
      </w:r>
    </w:p>
    <w:p w14:paraId="616D3A40" w14:textId="77777777" w:rsidR="00325004" w:rsidRDefault="00325004" w:rsidP="00E0716D">
      <w:pPr>
        <w:jc w:val="both"/>
      </w:pPr>
    </w:p>
    <w:p w14:paraId="3660918D" w14:textId="77777777" w:rsidR="00325004" w:rsidRDefault="00325004" w:rsidP="00E0716D">
      <w:pPr>
        <w:jc w:val="both"/>
      </w:pPr>
    </w:p>
    <w:p w14:paraId="31BCA212" w14:textId="77777777" w:rsidR="00E0716D" w:rsidRDefault="00E0716D" w:rsidP="00E0716D">
      <w:pPr>
        <w:jc w:val="both"/>
      </w:pP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004"/>
    <w:rsid w:val="00041EFD"/>
    <w:rsid w:val="00325004"/>
    <w:rsid w:val="00536366"/>
    <w:rsid w:val="00685C1A"/>
    <w:rsid w:val="00C85775"/>
    <w:rsid w:val="00E0716D"/>
    <w:rsid w:val="00E10303"/>
    <w:rsid w:val="00F84A2B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B4A63E"/>
  <w14:defaultImageDpi w14:val="300"/>
  <w15:docId w15:val="{9DAF6BCC-0DA6-44A6-B797-1F648B111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4A2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4A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qingsong.wang@uni-bayreuth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Wang, Qingsong</cp:lastModifiedBy>
  <cp:revision>3</cp:revision>
  <cp:lastPrinted>2013-10-21T12:07:00Z</cp:lastPrinted>
  <dcterms:created xsi:type="dcterms:W3CDTF">2021-03-10T13:20:00Z</dcterms:created>
  <dcterms:modified xsi:type="dcterms:W3CDTF">2026-06-01T04:20:00Z</dcterms:modified>
</cp:coreProperties>
</file>