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85BD02" w14:textId="77777777" w:rsidR="004F6FBD" w:rsidRPr="00A86EB9" w:rsidRDefault="004F6FBD" w:rsidP="004F6FBD">
      <w:pPr>
        <w:jc w:val="center"/>
        <w:rPr>
          <w:b/>
          <w:sz w:val="28"/>
        </w:rPr>
      </w:pPr>
      <w:r>
        <w:rPr>
          <w:b/>
          <w:sz w:val="28"/>
        </w:rPr>
        <w:t xml:space="preserve">Multidimensional </w:t>
      </w:r>
      <w:r w:rsidRPr="0058542C">
        <w:rPr>
          <w:b/>
          <w:sz w:val="28"/>
        </w:rPr>
        <w:t xml:space="preserve">Electrochemical </w:t>
      </w:r>
      <w:r>
        <w:rPr>
          <w:b/>
          <w:sz w:val="28"/>
        </w:rPr>
        <w:t>Fingerprinting of Vancomycin using an Aptamer-Based Sensor via Dynamic Electrochemical Impedance Spectroscopy</w:t>
      </w:r>
    </w:p>
    <w:p w14:paraId="65D2BCD3" w14:textId="77777777" w:rsidR="00325004" w:rsidRPr="00A86EB9" w:rsidRDefault="00325004" w:rsidP="00E0716D">
      <w:pPr>
        <w:jc w:val="center"/>
        <w:rPr>
          <w:b/>
          <w:sz w:val="28"/>
        </w:rPr>
      </w:pPr>
    </w:p>
    <w:p w14:paraId="133AA8B9" w14:textId="22EDEBDC" w:rsidR="004F6FBD" w:rsidRDefault="004F6FBD" w:rsidP="00E0716D">
      <w:pPr>
        <w:jc w:val="center"/>
      </w:pPr>
      <w:r>
        <w:rPr>
          <w:u w:val="single"/>
          <w:vertAlign w:val="superscript"/>
        </w:rPr>
        <w:t>1</w:t>
      </w:r>
      <w:r w:rsidRPr="003278C7">
        <w:rPr>
          <w:u w:val="single"/>
        </w:rPr>
        <w:t>Zofia Jeleniewska</w:t>
      </w:r>
      <w:r w:rsidRPr="003278C7">
        <w:t xml:space="preserve">, </w:t>
      </w:r>
      <w:r>
        <w:rPr>
          <w:vertAlign w:val="superscript"/>
        </w:rPr>
        <w:t>1</w:t>
      </w:r>
      <w:r w:rsidRPr="002D0BB0">
        <w:t xml:space="preserve">Mohsen Khodadadi </w:t>
      </w:r>
      <w:proofErr w:type="spellStart"/>
      <w:r w:rsidRPr="002D0BB0">
        <w:t>Yazdi</w:t>
      </w:r>
      <w:proofErr w:type="spellEnd"/>
      <w:r w:rsidRPr="003278C7">
        <w:t xml:space="preserve">, </w:t>
      </w:r>
      <w:r>
        <w:rPr>
          <w:vertAlign w:val="superscript"/>
        </w:rPr>
        <w:t>2</w:t>
      </w:r>
      <w:r>
        <w:t xml:space="preserve">Elisa </w:t>
      </w:r>
      <w:proofErr w:type="spellStart"/>
      <w:r>
        <w:t>Paialunga</w:t>
      </w:r>
      <w:proofErr w:type="spellEnd"/>
      <w:r>
        <w:t>,</w:t>
      </w:r>
      <w:r w:rsidRPr="003278C7">
        <w:t xml:space="preserve"> </w:t>
      </w:r>
      <w:r>
        <w:rPr>
          <w:vertAlign w:val="superscript"/>
        </w:rPr>
        <w:t>2</w:t>
      </w:r>
      <w:r w:rsidRPr="003278C7">
        <w:t xml:space="preserve">Andrea </w:t>
      </w:r>
      <w:proofErr w:type="spellStart"/>
      <w:r w:rsidRPr="003278C7">
        <w:t>Idili</w:t>
      </w:r>
      <w:proofErr w:type="spellEnd"/>
      <w:r>
        <w:t xml:space="preserve">, </w:t>
      </w:r>
      <w:r>
        <w:rPr>
          <w:vertAlign w:val="superscript"/>
        </w:rPr>
        <w:t>1</w:t>
      </w:r>
      <w:r w:rsidRPr="003278C7">
        <w:t xml:space="preserve">Jacek </w:t>
      </w:r>
      <w:proofErr w:type="spellStart"/>
      <w:r w:rsidRPr="003278C7">
        <w:t>Ryl</w:t>
      </w:r>
      <w:proofErr w:type="spellEnd"/>
    </w:p>
    <w:p w14:paraId="72078A93" w14:textId="77777777" w:rsidR="004F6FBD" w:rsidRDefault="004F6FBD" w:rsidP="00E0716D">
      <w:pPr>
        <w:jc w:val="center"/>
      </w:pPr>
    </w:p>
    <w:p w14:paraId="42975381" w14:textId="265C3033" w:rsidR="004F6FBD" w:rsidRPr="002D0BB0" w:rsidRDefault="004F6FBD" w:rsidP="003C60BF">
      <w:pPr>
        <w:spacing w:line="276" w:lineRule="auto"/>
        <w:jc w:val="center"/>
        <w:rPr>
          <w:i/>
        </w:rPr>
      </w:pPr>
      <w:r>
        <w:rPr>
          <w:i/>
          <w:vertAlign w:val="superscript"/>
        </w:rPr>
        <w:t>1</w:t>
      </w:r>
      <w:r w:rsidRPr="002D0BB0">
        <w:rPr>
          <w:i/>
        </w:rPr>
        <w:t xml:space="preserve">Institute of Nanotechnology and Materials Engineering, </w:t>
      </w:r>
      <w:proofErr w:type="spellStart"/>
      <w:r w:rsidRPr="002D0BB0">
        <w:rPr>
          <w:i/>
        </w:rPr>
        <w:t>Gdańsk</w:t>
      </w:r>
      <w:proofErr w:type="spellEnd"/>
      <w:r w:rsidRPr="002D0BB0">
        <w:rPr>
          <w:i/>
        </w:rPr>
        <w:t xml:space="preserve"> University of Technology, </w:t>
      </w:r>
      <w:proofErr w:type="spellStart"/>
      <w:r w:rsidRPr="002D0BB0">
        <w:rPr>
          <w:i/>
        </w:rPr>
        <w:t>Gdańsk</w:t>
      </w:r>
      <w:proofErr w:type="spellEnd"/>
      <w:r w:rsidRPr="002D0BB0">
        <w:rPr>
          <w:i/>
        </w:rPr>
        <w:t>, Poland</w:t>
      </w:r>
    </w:p>
    <w:p w14:paraId="426B4119" w14:textId="35BE1F5D" w:rsidR="004F6FBD" w:rsidRDefault="004F6FBD" w:rsidP="003C60BF">
      <w:pPr>
        <w:spacing w:line="276" w:lineRule="auto"/>
        <w:jc w:val="center"/>
        <w:rPr>
          <w:i/>
        </w:rPr>
      </w:pPr>
      <w:r>
        <w:rPr>
          <w:i/>
          <w:vertAlign w:val="superscript"/>
        </w:rPr>
        <w:t>2</w:t>
      </w:r>
      <w:r w:rsidRPr="003278C7">
        <w:rPr>
          <w:i/>
        </w:rPr>
        <w:t>Department of Chemical Science and Technologies, University of Rome Tor Vergata, Roma, Ital</w:t>
      </w:r>
      <w:r>
        <w:rPr>
          <w:i/>
        </w:rPr>
        <w:t xml:space="preserve">y </w:t>
      </w:r>
    </w:p>
    <w:p w14:paraId="4E6CE302" w14:textId="73F6C2C5" w:rsidR="00325004" w:rsidRPr="004F6FBD" w:rsidRDefault="004F6FBD" w:rsidP="003C60BF">
      <w:pPr>
        <w:spacing w:line="276" w:lineRule="auto"/>
        <w:jc w:val="center"/>
        <w:rPr>
          <w:lang w:val="pl-PL"/>
        </w:rPr>
      </w:pPr>
      <w:r w:rsidRPr="004F6FBD">
        <w:rPr>
          <w:i/>
          <w:lang w:val="pl-PL"/>
        </w:rPr>
        <w:t>Narutowicza 11/12, 80-233, Gdańsk</w:t>
      </w:r>
      <w:r>
        <w:rPr>
          <w:i/>
          <w:lang w:val="pl-PL"/>
        </w:rPr>
        <w:t>, Poland</w:t>
      </w:r>
    </w:p>
    <w:p w14:paraId="35ED7D7F" w14:textId="79345BC7" w:rsidR="00325004" w:rsidRPr="004F6FBD" w:rsidRDefault="004F6FBD" w:rsidP="003C60BF">
      <w:pPr>
        <w:spacing w:line="276" w:lineRule="auto"/>
        <w:jc w:val="center"/>
        <w:rPr>
          <w:i/>
          <w:lang w:val="pl-PL"/>
        </w:rPr>
      </w:pPr>
      <w:r w:rsidRPr="004F6FBD">
        <w:rPr>
          <w:i/>
          <w:lang w:val="pl-PL"/>
        </w:rPr>
        <w:t>zofjelen@pg.edu.pl</w:t>
      </w:r>
    </w:p>
    <w:p w14:paraId="376475B7" w14:textId="77777777" w:rsidR="004F6FBD" w:rsidRDefault="004F6FBD" w:rsidP="004F6FBD">
      <w:pPr>
        <w:jc w:val="both"/>
      </w:pPr>
    </w:p>
    <w:p w14:paraId="2493E5F5" w14:textId="4C6770F0" w:rsidR="004F6FBD" w:rsidRDefault="004F6FBD" w:rsidP="004F6FBD">
      <w:pPr>
        <w:jc w:val="both"/>
      </w:pPr>
      <w:r>
        <w:t>Real-time tracking of physiologically relevant molecules within human body, such as hormones, metabolites, and small-molecule drugs, is critical for evaluating health status</w:t>
      </w:r>
      <w:r>
        <w:fldChar w:fldCharType="begin"/>
      </w:r>
      <w:r>
        <w:instrText xml:space="preserve"> ADDIN ZOTERO_ITEM CSL_CITATION {"citationID":"I0fHrrBk","properties":{"formattedCitation":"\\super 1\\nosupersub{}","plainCitation":"1","noteIndex":0},"citationItems":[{"id":1022,"uris":["http://zotero.org/users/11978299/items/ZH333R9D"],"itemData":{"id":1022,"type":"article-journal","container-title":"Nature Biotechnology","DOI":"10.1038/s41587-026-03010-w","ISSN":"1087-0156, 1546-1696","journalAbbreviation":"Nat Biotechnol","language":"en","source":"DOI.org (Crossref)","title":"Pilot phase clinical trial of a wearable, electrochemical aptamer-based patch for continuous drug concentration measurement","URL":"https://www.nature.com/articles/s41587-026-03010-w","author":[{"family":"Booth","given":"Marsilea A."},{"family":"Erdal","given":"Murat K."},{"family":"Larson","given":"Mikel"},{"family":"Birthisel","given":"Emily"},{"family":"Friedel","given":"Mark"},{"family":"Gonçales","given":"Vinicius R."},{"family":"Alinezhad","given":"Ali"},{"family":"Morawski","given":"Franciele"},{"family":"Li","given":"Jiezhen"},{"family":"Hogan","given":"Nicholas"},{"family":"Teo","given":"Stanley"},{"family":"Wordsworth","given":"Johanna"},{"family":"Khanna","given":"Sahil"},{"family":"Van Eps","given":"Jeremy"},{"family":"Boyd","given":"Stuart"},{"family":"Dewhirst","given":"Lucy"},{"family":"Gerson","given":"Julian"},{"family":"D’Souza","given":"Dheeraj"},{"family":"Yin","given":"Wang"},{"family":"Padmanabhan","given":"Priya Thaivalappil"},{"family":"Batchelor","given":"Robert H."},{"family":"Farnkopf","given":"Ashley"},{"family":"Hodges","given":"Alastair"},{"family":"Chambers","given":"Garry"},{"family":"Braude","given":"Michael"},{"family":"Kippin","given":"Tod E."},{"family":"Kirkpatrick","given":"Carl M. J."},{"family":"Justin Gooding","given":"J."},{"family":"Pianko","given":"Stephen"},{"family":"Stocker","given":"Sophie L."},{"family":"Plaxco","given":"Kevin W."}],"accessed":{"date-parts":[["2026",3,26]]},"issued":{"date-parts":[["2026",2,4]]}}}],"schema":"https://github.com/citation-style-language/schema/raw/master/csl-citation.json"} </w:instrText>
      </w:r>
      <w:r>
        <w:fldChar w:fldCharType="separate"/>
      </w:r>
      <w:r w:rsidRPr="005223AC">
        <w:rPr>
          <w:snapToGrid/>
          <w:szCs w:val="24"/>
          <w:vertAlign w:val="superscript"/>
          <w:lang w:eastAsia="it-IT"/>
        </w:rPr>
        <w:t>1</w:t>
      </w:r>
      <w:r>
        <w:fldChar w:fldCharType="end"/>
      </w:r>
      <w:r>
        <w:t xml:space="preserve">. </w:t>
      </w:r>
      <w:r w:rsidRPr="003677F5">
        <w:t>Electrochemical aptamer-based (E-AB) sensors represent a promising class of biosensors that rely on aptamers</w:t>
      </w:r>
      <w:r>
        <w:t xml:space="preserve"> which are </w:t>
      </w:r>
      <w:r w:rsidRPr="003677F5">
        <w:t>short, single-stranded nucleic acids capable of selectively binding target molecules.</w:t>
      </w:r>
      <w:r>
        <w:t xml:space="preserve"> They provide a robust sensing platform due to their synthetic accessibility, resilience to environmental changes, and reversible interactions with target molecules</w:t>
      </w:r>
      <w:r>
        <w:fldChar w:fldCharType="begin"/>
      </w:r>
      <w:r>
        <w:instrText xml:space="preserve"> ADDIN ZOTERO_ITEM CSL_CITATION {"citationID":"OhmcBbyQ","properties":{"formattedCitation":"\\super 2\\nosupersub{}","plainCitation":"2","noteIndex":0},"citationItems":[{"id":1024,"uris":["http://zotero.org/users/11978299/items/G8H6MEPB"],"itemData":{"id":1024,"type":"article-journal","abstract":"Electrochemical aptamer-based (EAB) sensors are the only highfrequency, real-time molecular measurement approach reported to date that is simultaneously both (1) selective enough to deploy in situ in the body and (2) independent of the chemical reactivity of its target, rendering it generalizable to the measurement of a wide range of analytes. To date, for example, a half dozen research groups have demonstrated the ability of EAB sensors to support few-second to subsecond resolved, multihour measurements of drugs and biomarkers in the veins, brains, and solid peripheral tissues of live rats. Motivated by the scientific and clinical applications these real-time, highly time-resolved in vivo measurements enable, significant literature has explored methods for improving the design, fabrication, and operation of EAB sensors. Here, we critically review this literature in an effort to identify what we believe are the most promising of these approaches and which are the areas of EAB sensor design, fabrication, and operation that remain to be profitably explored.","container-title":"ACS Sensors","DOI":"10.1021/acssensors.4c03465","ISSN":"2379-3694, 2379-3694","issue":"10","journalAbbreviation":"ACS Sens.","language":"en","license":"https://doi.org/10.15223/policy-029","page":"7218-7230","source":"DOI.org (Crossref)","title":"On the Design, Fabrication, and Operation of Electrochemical Aptamer-Based Sensors","volume":"10","author":[{"family":"Wu","given":"Yuyang"},{"family":"Plaxco","given":"Kevin W."}],"issued":{"date-parts":[["2025",10,24]]}}}],"schema":"https://github.com/citation-style-language/schema/raw/master/csl-citation.json"} </w:instrText>
      </w:r>
      <w:r>
        <w:fldChar w:fldCharType="separate"/>
      </w:r>
      <w:r w:rsidRPr="004B4C48">
        <w:rPr>
          <w:snapToGrid/>
          <w:szCs w:val="24"/>
          <w:vertAlign w:val="superscript"/>
          <w:lang w:eastAsia="it-IT"/>
        </w:rPr>
        <w:t>2</w:t>
      </w:r>
      <w:r>
        <w:fldChar w:fldCharType="end"/>
      </w:r>
      <w:r>
        <w:t xml:space="preserve">. </w:t>
      </w:r>
    </w:p>
    <w:p w14:paraId="58E99D20" w14:textId="77777777" w:rsidR="004F6FBD" w:rsidRDefault="004F6FBD" w:rsidP="004F6FBD">
      <w:pPr>
        <w:jc w:val="both"/>
      </w:pPr>
      <w:r>
        <w:t xml:space="preserve">Despite this progress, signal drift during in vivo operation remains a critical limitation, significantly compromising long-term stability. This drift is commonly attributed to the large potential perturbations inherent to </w:t>
      </w:r>
      <w:proofErr w:type="spellStart"/>
      <w:r>
        <w:t>voltammetric</w:t>
      </w:r>
      <w:proofErr w:type="spellEnd"/>
      <w:r>
        <w:t xml:space="preserve"> techniques, which can promote interfacial degradation, including desorption of the aptamer self-assembled monolayer and/or blocking layer from gold electrode surfaces. Impedimetric approaches mitigate this issue by operating under low-amplitude perturbations,</w:t>
      </w:r>
      <w:r w:rsidRPr="007A4DD2">
        <w:t xml:space="preserve"> </w:t>
      </w:r>
      <w:r>
        <w:t>thereby reducing interfacial degradation and extending sensor lifetime. Conventional electrochemical impedance spectroscopy (EIS) has been shown to extend sensor lifetime from approximately 24 hours to several days</w:t>
      </w:r>
      <w:r>
        <w:fldChar w:fldCharType="begin"/>
      </w:r>
      <w:r>
        <w:instrText xml:space="preserve"> ADDIN ZOTERO_ITEM CSL_CITATION {"citationID":"6FjOQEWF","properties":{"formattedCitation":"\\super 3\\nosupersub{}","plainCitation":"3","noteIndex":0},"citationItems":[{"id":1016,"uris":["http://zotero.org/users/11978299/items/R63DKNHG"],"itemData":{"id":1016,"type":"article-journal","abstract":"Electrochemical aptamer-based biosensors (E-ABs) are a detection platform that enables rapid and precise measurements of target concentrations directly in complex matrices and in the body. Their translation to solving “real-world” challenges is, in part, hampered by their instability. This has been partially explained by electrochemically induced sensor degradation. In response, we propose an impedimetric method that minimizes sensor degradation. This method relies on the application of a narrower potential window, in contrast to the widely used square wave voltammetry. We showcase the ability of the impedimetric method to mitigate degradation for three different E-ABs, leading to a stability improvement of up to 79%. We also explore its utility to gain insights into the degradation mechanisms.","container-title":"Journal of The Electrochemical Society","DOI":"10.1149/1945-7111/ae4277","ISSN":"0013-4651, 1945-7111","issue":"4","journalAbbreviation":"J. Electrochem. Soc.","language":"en","page":"047501","source":"DOI.org (Crossref)","title":"Impedimetric Interrogation to Reduce the Degradation of Electrochemical Aptamer-Based Biosensors","volume":"173","author":[{"family":"Corcoran","given":"Naïla"},{"family":"Dauphin-Ducharme","given":"Philippe"}],"issued":{"date-parts":[["2026",2,27]]}}}],"schema":"https://github.com/citation-style-language/schema/raw/master/csl-citation.json"} </w:instrText>
      </w:r>
      <w:r>
        <w:fldChar w:fldCharType="separate"/>
      </w:r>
      <w:r w:rsidRPr="005223AC">
        <w:rPr>
          <w:snapToGrid/>
          <w:szCs w:val="24"/>
          <w:vertAlign w:val="superscript"/>
          <w:lang w:eastAsia="it-IT"/>
        </w:rPr>
        <w:t>3</w:t>
      </w:r>
      <w:r>
        <w:fldChar w:fldCharType="end"/>
      </w:r>
      <w:r>
        <w:t xml:space="preserve">. Nevertheless, classical EIS is typically restricted to stationary conditions, limiting its capability to resolve non-stationary processes such as signal drift and interfacial degradation. </w:t>
      </w:r>
    </w:p>
    <w:p w14:paraId="153DCC83" w14:textId="77777777" w:rsidR="004F6FBD" w:rsidRPr="005223AC" w:rsidRDefault="004F6FBD" w:rsidP="004F6FBD">
      <w:pPr>
        <w:jc w:val="both"/>
      </w:pPr>
      <w:r>
        <w:t xml:space="preserve">To address these limitations, we employ dynamic electrochemical impedance spectroscopy (DEIS), an advanced electrochemical technique that enables probing of non-stationary processes evolving over time. This approach provides high-dimensional impedance data as a function of both time and frequency. This technique not only enables analyte detection but also allows in-depth probing of interfacial processes and their kinetics. In this work, DEIS was implemented alongside conventional square wave voltammetry </w:t>
      </w:r>
      <w:r w:rsidRPr="005223AC">
        <w:t xml:space="preserve">(SWV) in an E-AB sensor for vancomycin as a model analyte. </w:t>
      </w:r>
    </w:p>
    <w:p w14:paraId="7EDB890A" w14:textId="77777777" w:rsidR="004F6FBD" w:rsidRDefault="004F6FBD" w:rsidP="004F6FBD">
      <w:pPr>
        <w:jc w:val="both"/>
      </w:pPr>
      <w:r w:rsidRPr="005223AC">
        <w:t xml:space="preserve"> Quantitative analysis was performed via target titration in PBS buffer, and measurements were conducted in both </w:t>
      </w:r>
      <w:proofErr w:type="spellStart"/>
      <w:r w:rsidRPr="005223AC">
        <w:t>potentiostatic</w:t>
      </w:r>
      <w:proofErr w:type="spellEnd"/>
      <w:r w:rsidRPr="005223AC">
        <w:t xml:space="preserve"> and galvanostatic DEIS modes to enable comprehensive mechanistic and kinetic analysis. In the </w:t>
      </w:r>
      <w:proofErr w:type="spellStart"/>
      <w:r w:rsidRPr="005223AC">
        <w:t>potentiostatic</w:t>
      </w:r>
      <w:proofErr w:type="spellEnd"/>
      <w:r w:rsidRPr="005223AC">
        <w:t xml:space="preserve"> regime, two working potentials were selected: the open circuit potential and the formal potential of methylene blue, the redox reporter attached to the aptamer. Combined with advanced data analysis techniques, this approach enables time-resolved characterization of target binding and interfacial processes occurring at different timescales, providing insight into charge-transfer dynamics and degradation mechanisms.</w:t>
      </w:r>
    </w:p>
    <w:p w14:paraId="47254177" w14:textId="77777777" w:rsidR="004F6FBD" w:rsidRDefault="004F6FBD" w:rsidP="004F6FBD">
      <w:pPr>
        <w:jc w:val="both"/>
      </w:pPr>
    </w:p>
    <w:p w14:paraId="7B4D3D3B" w14:textId="77777777" w:rsidR="004F6FBD" w:rsidRPr="00784539" w:rsidRDefault="004F6FBD" w:rsidP="004F6FBD">
      <w:pPr>
        <w:jc w:val="both"/>
        <w:rPr>
          <w:u w:val="single"/>
        </w:rPr>
      </w:pPr>
      <w:r w:rsidRPr="00784539">
        <w:rPr>
          <w:u w:val="single"/>
        </w:rPr>
        <w:t>References</w:t>
      </w:r>
    </w:p>
    <w:p w14:paraId="5D32F9D1" w14:textId="77777777" w:rsidR="004F6FBD" w:rsidRDefault="004F6FBD" w:rsidP="004F6FBD">
      <w:pPr>
        <w:jc w:val="both"/>
      </w:pPr>
    </w:p>
    <w:p w14:paraId="07A6AAA9" w14:textId="77777777" w:rsidR="004F6FBD" w:rsidRPr="005223AC" w:rsidRDefault="004F6FBD" w:rsidP="004F6FBD">
      <w:pPr>
        <w:pStyle w:val="Bibliografia"/>
        <w:rPr>
          <w:snapToGrid/>
          <w:lang w:eastAsia="it-IT"/>
        </w:rPr>
      </w:pPr>
      <w:r>
        <w:fldChar w:fldCharType="begin"/>
      </w:r>
      <w:r>
        <w:instrText xml:space="preserve"> ADDIN ZOTERO_BIBL {"uncited":[],"omitted":[],"custom":[]} CSL_BIBLIOGRAPHY </w:instrText>
      </w:r>
      <w:r>
        <w:fldChar w:fldCharType="separate"/>
      </w:r>
      <w:r w:rsidRPr="005223AC">
        <w:rPr>
          <w:snapToGrid/>
          <w:lang w:eastAsia="it-IT"/>
        </w:rPr>
        <w:t>(1)</w:t>
      </w:r>
      <w:r w:rsidRPr="005223AC">
        <w:rPr>
          <w:snapToGrid/>
          <w:lang w:eastAsia="it-IT"/>
        </w:rPr>
        <w:tab/>
        <w:t xml:space="preserve">Booth, M. A.; </w:t>
      </w:r>
      <w:proofErr w:type="spellStart"/>
      <w:r w:rsidRPr="005223AC">
        <w:rPr>
          <w:snapToGrid/>
          <w:lang w:eastAsia="it-IT"/>
        </w:rPr>
        <w:t>Erdal</w:t>
      </w:r>
      <w:proofErr w:type="spellEnd"/>
      <w:r w:rsidRPr="005223AC">
        <w:rPr>
          <w:snapToGrid/>
          <w:lang w:eastAsia="it-IT"/>
        </w:rPr>
        <w:t xml:space="preserve">, M. K.; Larson, M.; </w:t>
      </w:r>
      <w:proofErr w:type="spellStart"/>
      <w:r w:rsidRPr="005223AC">
        <w:rPr>
          <w:snapToGrid/>
          <w:lang w:eastAsia="it-IT"/>
        </w:rPr>
        <w:t>Birthisel</w:t>
      </w:r>
      <w:proofErr w:type="spellEnd"/>
      <w:r w:rsidRPr="005223AC">
        <w:rPr>
          <w:snapToGrid/>
          <w:lang w:eastAsia="it-IT"/>
        </w:rPr>
        <w:t xml:space="preserve">, E.; Friedel, M.; </w:t>
      </w:r>
      <w:proofErr w:type="spellStart"/>
      <w:r w:rsidRPr="005223AC">
        <w:rPr>
          <w:snapToGrid/>
          <w:lang w:eastAsia="it-IT"/>
        </w:rPr>
        <w:t>Gonçales</w:t>
      </w:r>
      <w:proofErr w:type="spellEnd"/>
      <w:r w:rsidRPr="005223AC">
        <w:rPr>
          <w:snapToGrid/>
          <w:lang w:eastAsia="it-IT"/>
        </w:rPr>
        <w:t xml:space="preserve">, V. R.; </w:t>
      </w:r>
      <w:proofErr w:type="spellStart"/>
      <w:r w:rsidRPr="005223AC">
        <w:rPr>
          <w:snapToGrid/>
          <w:lang w:eastAsia="it-IT"/>
        </w:rPr>
        <w:t>Alinezhad</w:t>
      </w:r>
      <w:proofErr w:type="spellEnd"/>
      <w:r w:rsidRPr="005223AC">
        <w:rPr>
          <w:snapToGrid/>
          <w:lang w:eastAsia="it-IT"/>
        </w:rPr>
        <w:t xml:space="preserve">, A.; </w:t>
      </w:r>
      <w:proofErr w:type="spellStart"/>
      <w:r w:rsidRPr="005223AC">
        <w:rPr>
          <w:snapToGrid/>
          <w:lang w:eastAsia="it-IT"/>
        </w:rPr>
        <w:t>Morawski</w:t>
      </w:r>
      <w:proofErr w:type="spellEnd"/>
      <w:r w:rsidRPr="005223AC">
        <w:rPr>
          <w:snapToGrid/>
          <w:lang w:eastAsia="it-IT"/>
        </w:rPr>
        <w:t xml:space="preserve">, F.; Li, J.; Hogan, N.; Teo, S.; Wordsworth, J.; Khanna, S.; Van Eps, J.; Boyd, S.; Dewhirst, L.; Gerson, J.; D’Souza, D.; Yin, W.; Padmanabhan, P. T.; Batchelor, R. H.; </w:t>
      </w:r>
      <w:proofErr w:type="spellStart"/>
      <w:r w:rsidRPr="005223AC">
        <w:rPr>
          <w:snapToGrid/>
          <w:lang w:eastAsia="it-IT"/>
        </w:rPr>
        <w:t>Farnkopf</w:t>
      </w:r>
      <w:proofErr w:type="spellEnd"/>
      <w:r w:rsidRPr="005223AC">
        <w:rPr>
          <w:snapToGrid/>
          <w:lang w:eastAsia="it-IT"/>
        </w:rPr>
        <w:t xml:space="preserve">, A.; Hodges, A.; Chambers, G.; </w:t>
      </w:r>
      <w:proofErr w:type="spellStart"/>
      <w:r w:rsidRPr="005223AC">
        <w:rPr>
          <w:snapToGrid/>
          <w:lang w:eastAsia="it-IT"/>
        </w:rPr>
        <w:t>Braude</w:t>
      </w:r>
      <w:proofErr w:type="spellEnd"/>
      <w:r w:rsidRPr="005223AC">
        <w:rPr>
          <w:snapToGrid/>
          <w:lang w:eastAsia="it-IT"/>
        </w:rPr>
        <w:t xml:space="preserve">, M.; </w:t>
      </w:r>
      <w:proofErr w:type="spellStart"/>
      <w:r w:rsidRPr="005223AC">
        <w:rPr>
          <w:snapToGrid/>
          <w:lang w:eastAsia="it-IT"/>
        </w:rPr>
        <w:t>Kippin</w:t>
      </w:r>
      <w:proofErr w:type="spellEnd"/>
      <w:r w:rsidRPr="005223AC">
        <w:rPr>
          <w:snapToGrid/>
          <w:lang w:eastAsia="it-IT"/>
        </w:rPr>
        <w:t xml:space="preserve">, T. E.; Kirkpatrick, C. M. J.; Justin Gooding, J.; </w:t>
      </w:r>
      <w:proofErr w:type="spellStart"/>
      <w:r w:rsidRPr="005223AC">
        <w:rPr>
          <w:snapToGrid/>
          <w:lang w:eastAsia="it-IT"/>
        </w:rPr>
        <w:t>Pianko</w:t>
      </w:r>
      <w:proofErr w:type="spellEnd"/>
      <w:r w:rsidRPr="005223AC">
        <w:rPr>
          <w:snapToGrid/>
          <w:lang w:eastAsia="it-IT"/>
        </w:rPr>
        <w:t xml:space="preserve">, S.; Stocker, S. L.; </w:t>
      </w:r>
      <w:proofErr w:type="spellStart"/>
      <w:r w:rsidRPr="005223AC">
        <w:rPr>
          <w:snapToGrid/>
          <w:lang w:eastAsia="it-IT"/>
        </w:rPr>
        <w:t>Plaxco</w:t>
      </w:r>
      <w:proofErr w:type="spellEnd"/>
      <w:r w:rsidRPr="005223AC">
        <w:rPr>
          <w:snapToGrid/>
          <w:lang w:eastAsia="it-IT"/>
        </w:rPr>
        <w:t xml:space="preserve">, K. W. Pilot Phase Clinical Trial of a Wearable, Electrochemical Aptamer-Based Patch for Continuous Drug Concentration Measurement. </w:t>
      </w:r>
      <w:r w:rsidRPr="005223AC">
        <w:rPr>
          <w:i/>
          <w:iCs/>
          <w:snapToGrid/>
          <w:lang w:eastAsia="it-IT"/>
        </w:rPr>
        <w:t xml:space="preserve">Nat. </w:t>
      </w:r>
      <w:proofErr w:type="spellStart"/>
      <w:r w:rsidRPr="005223AC">
        <w:rPr>
          <w:i/>
          <w:iCs/>
          <w:snapToGrid/>
          <w:lang w:eastAsia="it-IT"/>
        </w:rPr>
        <w:t>Biotechnol</w:t>
      </w:r>
      <w:proofErr w:type="spellEnd"/>
      <w:r w:rsidRPr="005223AC">
        <w:rPr>
          <w:i/>
          <w:iCs/>
          <w:snapToGrid/>
          <w:lang w:eastAsia="it-IT"/>
        </w:rPr>
        <w:t>.</w:t>
      </w:r>
      <w:r w:rsidRPr="005223AC">
        <w:rPr>
          <w:snapToGrid/>
          <w:lang w:eastAsia="it-IT"/>
        </w:rPr>
        <w:t xml:space="preserve"> </w:t>
      </w:r>
      <w:r w:rsidRPr="005223AC">
        <w:rPr>
          <w:b/>
          <w:bCs/>
          <w:snapToGrid/>
          <w:lang w:eastAsia="it-IT"/>
        </w:rPr>
        <w:t>2026</w:t>
      </w:r>
      <w:r w:rsidRPr="005223AC">
        <w:rPr>
          <w:snapToGrid/>
          <w:lang w:eastAsia="it-IT"/>
        </w:rPr>
        <w:t>. https://doi.org/10.1038/s41587-026-03010-w.</w:t>
      </w:r>
    </w:p>
    <w:p w14:paraId="1FEDBFCE" w14:textId="77777777" w:rsidR="004F6FBD" w:rsidRPr="005223AC" w:rsidRDefault="004F6FBD" w:rsidP="004F6FBD">
      <w:pPr>
        <w:pStyle w:val="Bibliografia"/>
        <w:rPr>
          <w:snapToGrid/>
          <w:lang w:eastAsia="it-IT"/>
        </w:rPr>
      </w:pPr>
      <w:r w:rsidRPr="005223AC">
        <w:rPr>
          <w:snapToGrid/>
          <w:lang w:eastAsia="it-IT"/>
        </w:rPr>
        <w:t>(2)</w:t>
      </w:r>
      <w:r w:rsidRPr="005223AC">
        <w:rPr>
          <w:snapToGrid/>
          <w:lang w:eastAsia="it-IT"/>
        </w:rPr>
        <w:tab/>
        <w:t xml:space="preserve">Wu, Y.; </w:t>
      </w:r>
      <w:proofErr w:type="spellStart"/>
      <w:r w:rsidRPr="005223AC">
        <w:rPr>
          <w:snapToGrid/>
          <w:lang w:eastAsia="it-IT"/>
        </w:rPr>
        <w:t>Plaxco</w:t>
      </w:r>
      <w:proofErr w:type="spellEnd"/>
      <w:r w:rsidRPr="005223AC">
        <w:rPr>
          <w:snapToGrid/>
          <w:lang w:eastAsia="it-IT"/>
        </w:rPr>
        <w:t xml:space="preserve">, K. W. On the Design, Fabrication, and Operation of Electrochemical Aptamer-Based Sensors. </w:t>
      </w:r>
      <w:r w:rsidRPr="005223AC">
        <w:rPr>
          <w:i/>
          <w:iCs/>
          <w:snapToGrid/>
          <w:lang w:eastAsia="it-IT"/>
        </w:rPr>
        <w:t>ACS Sens.</w:t>
      </w:r>
      <w:r w:rsidRPr="005223AC">
        <w:rPr>
          <w:snapToGrid/>
          <w:lang w:eastAsia="it-IT"/>
        </w:rPr>
        <w:t xml:space="preserve"> </w:t>
      </w:r>
      <w:r w:rsidRPr="005223AC">
        <w:rPr>
          <w:b/>
          <w:bCs/>
          <w:snapToGrid/>
          <w:lang w:eastAsia="it-IT"/>
        </w:rPr>
        <w:t>2025</w:t>
      </w:r>
      <w:r w:rsidRPr="005223AC">
        <w:rPr>
          <w:snapToGrid/>
          <w:lang w:eastAsia="it-IT"/>
        </w:rPr>
        <w:t xml:space="preserve">, </w:t>
      </w:r>
      <w:r w:rsidRPr="005223AC">
        <w:rPr>
          <w:i/>
          <w:iCs/>
          <w:snapToGrid/>
          <w:lang w:eastAsia="it-IT"/>
        </w:rPr>
        <w:t>10</w:t>
      </w:r>
      <w:r w:rsidRPr="005223AC">
        <w:rPr>
          <w:snapToGrid/>
          <w:lang w:eastAsia="it-IT"/>
        </w:rPr>
        <w:t xml:space="preserve"> (10), 7218–7230. https://doi.org/10.1021/acssensors.4c03465.</w:t>
      </w:r>
    </w:p>
    <w:p w14:paraId="7EE41454" w14:textId="77777777" w:rsidR="004F6FBD" w:rsidRPr="005223AC" w:rsidRDefault="004F6FBD" w:rsidP="004F6FBD">
      <w:pPr>
        <w:pStyle w:val="Bibliografia"/>
        <w:rPr>
          <w:snapToGrid/>
          <w:lang w:val="pl-PL" w:eastAsia="it-IT"/>
        </w:rPr>
      </w:pPr>
      <w:r w:rsidRPr="005223AC">
        <w:rPr>
          <w:snapToGrid/>
          <w:lang w:eastAsia="it-IT"/>
        </w:rPr>
        <w:t>(3)</w:t>
      </w:r>
      <w:r w:rsidRPr="005223AC">
        <w:rPr>
          <w:snapToGrid/>
          <w:lang w:eastAsia="it-IT"/>
        </w:rPr>
        <w:tab/>
        <w:t xml:space="preserve">Corcoran, N.; Dauphin-Ducharme, P. Impedimetric Interrogation to Reduce the Degradation of Electrochemical Aptamer-Based Biosensors. </w:t>
      </w:r>
      <w:r w:rsidRPr="005223AC">
        <w:rPr>
          <w:i/>
          <w:iCs/>
          <w:snapToGrid/>
          <w:lang w:val="pl-PL" w:eastAsia="it-IT"/>
        </w:rPr>
        <w:t xml:space="preserve">J. </w:t>
      </w:r>
      <w:proofErr w:type="spellStart"/>
      <w:r w:rsidRPr="005223AC">
        <w:rPr>
          <w:i/>
          <w:iCs/>
          <w:snapToGrid/>
          <w:lang w:val="pl-PL" w:eastAsia="it-IT"/>
        </w:rPr>
        <w:t>Electrochem</w:t>
      </w:r>
      <w:proofErr w:type="spellEnd"/>
      <w:r w:rsidRPr="005223AC">
        <w:rPr>
          <w:i/>
          <w:iCs/>
          <w:snapToGrid/>
          <w:lang w:val="pl-PL" w:eastAsia="it-IT"/>
        </w:rPr>
        <w:t xml:space="preserve">. </w:t>
      </w:r>
      <w:proofErr w:type="spellStart"/>
      <w:r w:rsidRPr="005223AC">
        <w:rPr>
          <w:i/>
          <w:iCs/>
          <w:snapToGrid/>
          <w:lang w:val="pl-PL" w:eastAsia="it-IT"/>
        </w:rPr>
        <w:t>Soc</w:t>
      </w:r>
      <w:proofErr w:type="spellEnd"/>
      <w:r w:rsidRPr="005223AC">
        <w:rPr>
          <w:i/>
          <w:iCs/>
          <w:snapToGrid/>
          <w:lang w:val="pl-PL" w:eastAsia="it-IT"/>
        </w:rPr>
        <w:t>.</w:t>
      </w:r>
      <w:r w:rsidRPr="005223AC">
        <w:rPr>
          <w:snapToGrid/>
          <w:lang w:val="pl-PL" w:eastAsia="it-IT"/>
        </w:rPr>
        <w:t xml:space="preserve"> </w:t>
      </w:r>
      <w:r w:rsidRPr="005223AC">
        <w:rPr>
          <w:b/>
          <w:bCs/>
          <w:snapToGrid/>
          <w:lang w:val="pl-PL" w:eastAsia="it-IT"/>
        </w:rPr>
        <w:t>2026</w:t>
      </w:r>
      <w:r w:rsidRPr="005223AC">
        <w:rPr>
          <w:snapToGrid/>
          <w:lang w:val="pl-PL" w:eastAsia="it-IT"/>
        </w:rPr>
        <w:t xml:space="preserve">, </w:t>
      </w:r>
      <w:r w:rsidRPr="005223AC">
        <w:rPr>
          <w:i/>
          <w:iCs/>
          <w:snapToGrid/>
          <w:lang w:val="pl-PL" w:eastAsia="it-IT"/>
        </w:rPr>
        <w:t>173</w:t>
      </w:r>
      <w:r w:rsidRPr="005223AC">
        <w:rPr>
          <w:snapToGrid/>
          <w:lang w:val="pl-PL" w:eastAsia="it-IT"/>
        </w:rPr>
        <w:t xml:space="preserve"> (4), 047501. https://doi.org/10.1149/1945-7111/ae4277.</w:t>
      </w:r>
    </w:p>
    <w:p w14:paraId="16177F0F" w14:textId="2404AEBF" w:rsidR="00325004" w:rsidRDefault="004F6FBD" w:rsidP="00E0716D">
      <w:pPr>
        <w:jc w:val="both"/>
      </w:pPr>
      <w:r>
        <w:fldChar w:fldCharType="end"/>
      </w:r>
    </w:p>
    <w:sectPr w:rsidR="00325004"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325004"/>
    <w:rsid w:val="003C60BF"/>
    <w:rsid w:val="004F6FBD"/>
    <w:rsid w:val="00534A5B"/>
    <w:rsid w:val="00536366"/>
    <w:rsid w:val="00685C1A"/>
    <w:rsid w:val="007561B6"/>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B6BD03"/>
  <w14:defaultImageDpi w14:val="300"/>
  <w15:docId w15:val="{EA160B7E-1D60-0B46-A188-683DE0E7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716D"/>
    <w:pPr>
      <w:widowControl w:val="0"/>
    </w:pPr>
    <w:rPr>
      <w:snapToGrid w:val="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ibliografia">
    <w:name w:val="Bibliography"/>
    <w:basedOn w:val="Normalny"/>
    <w:next w:val="Normalny"/>
    <w:uiPriority w:val="37"/>
    <w:semiHidden/>
    <w:unhideWhenUsed/>
    <w:rsid w:val="004F6F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1432</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10009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Zofia Jeleniewska</cp:lastModifiedBy>
  <cp:revision>4</cp:revision>
  <cp:lastPrinted>2013-10-21T12:07:00Z</cp:lastPrinted>
  <dcterms:created xsi:type="dcterms:W3CDTF">2026-05-29T09:43:00Z</dcterms:created>
  <dcterms:modified xsi:type="dcterms:W3CDTF">2026-05-29T09:45:00Z</dcterms:modified>
</cp:coreProperties>
</file>