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5004" w:rsidRPr="00A86EB9" w:rsidRDefault="0033727B" w:rsidP="00E0716D">
      <w:pPr>
        <w:jc w:val="center"/>
        <w:rPr>
          <w:b/>
          <w:sz w:val="28"/>
        </w:rPr>
      </w:pPr>
      <w:proofErr w:type="spellStart"/>
      <w:r w:rsidRPr="0033727B">
        <w:rPr>
          <w:b/>
          <w:sz w:val="28"/>
        </w:rPr>
        <w:t>In-</w:t>
      </w:r>
      <w:proofErr w:type="spellEnd"/>
      <w:r w:rsidRPr="0033727B">
        <w:rPr>
          <w:b/>
          <w:sz w:val="28"/>
        </w:rPr>
        <w:t xml:space="preserve">Situ Raman </w:t>
      </w:r>
      <w:proofErr w:type="spellStart"/>
      <w:r w:rsidRPr="0033727B">
        <w:rPr>
          <w:b/>
          <w:sz w:val="28"/>
        </w:rPr>
        <w:t>Spectroelectrochemical</w:t>
      </w:r>
      <w:proofErr w:type="spellEnd"/>
      <w:r w:rsidRPr="0033727B">
        <w:rPr>
          <w:b/>
          <w:sz w:val="28"/>
        </w:rPr>
        <w:t xml:space="preserve"> Monitoring of TiO</w:t>
      </w:r>
      <w:r w:rsidRPr="0033727B">
        <w:rPr>
          <w:b/>
          <w:sz w:val="28"/>
          <w:vertAlign w:val="subscript"/>
        </w:rPr>
        <w:t>2</w:t>
      </w:r>
      <w:r w:rsidRPr="0033727B">
        <w:rPr>
          <w:b/>
          <w:sz w:val="28"/>
        </w:rPr>
        <w:t>/Prussian Blue Photoanode</w:t>
      </w:r>
    </w:p>
    <w:p w:rsidR="00325004" w:rsidRPr="0033727B" w:rsidRDefault="0033727B" w:rsidP="00E0716D">
      <w:pPr>
        <w:jc w:val="center"/>
        <w:rPr>
          <w:lang w:val="pl-PL"/>
        </w:rPr>
      </w:pPr>
      <w:r w:rsidRPr="0033727B">
        <w:rPr>
          <w:u w:val="single"/>
          <w:lang w:val="pl-PL"/>
        </w:rPr>
        <w:t xml:space="preserve">Konrad </w:t>
      </w:r>
      <w:proofErr w:type="spellStart"/>
      <w:r w:rsidRPr="0033727B">
        <w:rPr>
          <w:u w:val="single"/>
          <w:lang w:val="pl-PL"/>
        </w:rPr>
        <w:t>Trzciński</w:t>
      </w:r>
      <w:r w:rsidRPr="0033727B">
        <w:rPr>
          <w:u w:val="single"/>
          <w:vertAlign w:val="superscript"/>
          <w:lang w:val="pl-PL"/>
        </w:rPr>
        <w:t>a</w:t>
      </w:r>
      <w:proofErr w:type="spellEnd"/>
      <w:r w:rsidR="00325004" w:rsidRPr="0033727B">
        <w:rPr>
          <w:lang w:val="pl-PL"/>
        </w:rPr>
        <w:t xml:space="preserve">, </w:t>
      </w:r>
      <w:r w:rsidRPr="0033727B">
        <w:rPr>
          <w:lang w:val="pl-PL"/>
        </w:rPr>
        <w:t xml:space="preserve">Mirosław </w:t>
      </w:r>
      <w:proofErr w:type="spellStart"/>
      <w:r w:rsidRPr="0033727B">
        <w:rPr>
          <w:lang w:val="pl-PL"/>
        </w:rPr>
        <w:t>Sawczak</w:t>
      </w:r>
      <w:r w:rsidRPr="0033727B">
        <w:rPr>
          <w:vertAlign w:val="superscript"/>
          <w:lang w:val="pl-PL"/>
        </w:rPr>
        <w:t>b</w:t>
      </w:r>
      <w:proofErr w:type="spellEnd"/>
      <w:r w:rsidRPr="0033727B">
        <w:rPr>
          <w:lang w:val="pl-PL"/>
        </w:rPr>
        <w:t xml:space="preserve">, </w:t>
      </w:r>
      <w:r>
        <w:rPr>
          <w:lang w:val="pl-PL"/>
        </w:rPr>
        <w:t xml:space="preserve">Mariusz </w:t>
      </w:r>
      <w:proofErr w:type="spellStart"/>
      <w:r>
        <w:rPr>
          <w:lang w:val="pl-PL"/>
        </w:rPr>
        <w:t>Szkoda</w:t>
      </w:r>
      <w:r w:rsidRPr="0033727B">
        <w:rPr>
          <w:vertAlign w:val="superscript"/>
          <w:lang w:val="pl-PL"/>
        </w:rPr>
        <w:t>a</w:t>
      </w:r>
      <w:proofErr w:type="spellEnd"/>
    </w:p>
    <w:p w:rsidR="0033727B" w:rsidRDefault="0033727B" w:rsidP="0033727B">
      <w:pPr>
        <w:jc w:val="center"/>
        <w:rPr>
          <w:i/>
          <w:lang w:val="pl-PL"/>
        </w:rPr>
      </w:pPr>
    </w:p>
    <w:p w:rsidR="0033727B" w:rsidRDefault="0033727B" w:rsidP="0033727B">
      <w:pPr>
        <w:jc w:val="center"/>
        <w:rPr>
          <w:i/>
        </w:rPr>
      </w:pPr>
      <w:r w:rsidRPr="00D36027">
        <w:rPr>
          <w:i/>
          <w:vertAlign w:val="superscript"/>
        </w:rPr>
        <w:t xml:space="preserve">a </w:t>
      </w:r>
      <w:r w:rsidRPr="00D36027">
        <w:rPr>
          <w:i/>
        </w:rPr>
        <w:t xml:space="preserve">Faculty of Chemistry, Department of Chemistry and Technology of Functional Materials, </w:t>
      </w:r>
      <w:r>
        <w:rPr>
          <w:i/>
        </w:rPr>
        <w:br/>
      </w:r>
      <w:proofErr w:type="spellStart"/>
      <w:r w:rsidRPr="00D36027">
        <w:rPr>
          <w:i/>
        </w:rPr>
        <w:t>Gda</w:t>
      </w:r>
      <w:r>
        <w:rPr>
          <w:i/>
        </w:rPr>
        <w:t>ń</w:t>
      </w:r>
      <w:r w:rsidRPr="00D36027">
        <w:rPr>
          <w:i/>
        </w:rPr>
        <w:t>sk</w:t>
      </w:r>
      <w:proofErr w:type="spellEnd"/>
      <w:r w:rsidRPr="00D36027">
        <w:rPr>
          <w:i/>
        </w:rPr>
        <w:t xml:space="preserve"> University of Technology, </w:t>
      </w:r>
      <w:proofErr w:type="spellStart"/>
      <w:r w:rsidRPr="00D36027">
        <w:rPr>
          <w:i/>
        </w:rPr>
        <w:t>Narutowicza</w:t>
      </w:r>
      <w:proofErr w:type="spellEnd"/>
      <w:r w:rsidRPr="00D36027">
        <w:rPr>
          <w:i/>
        </w:rPr>
        <w:t xml:space="preserve"> 11/12, 80-233 </w:t>
      </w:r>
      <w:proofErr w:type="spellStart"/>
      <w:r w:rsidRPr="00D36027">
        <w:rPr>
          <w:i/>
        </w:rPr>
        <w:t>Gd</w:t>
      </w:r>
      <w:r>
        <w:rPr>
          <w:i/>
        </w:rPr>
        <w:t>ań</w:t>
      </w:r>
      <w:r w:rsidRPr="00D36027">
        <w:rPr>
          <w:i/>
        </w:rPr>
        <w:t>sk</w:t>
      </w:r>
      <w:proofErr w:type="spellEnd"/>
      <w:r w:rsidRPr="00D36027">
        <w:rPr>
          <w:i/>
        </w:rPr>
        <w:t>, Poland</w:t>
      </w:r>
    </w:p>
    <w:p w:rsidR="0033727B" w:rsidRPr="0033727B" w:rsidRDefault="0033727B" w:rsidP="0033727B">
      <w:pPr>
        <w:jc w:val="center"/>
        <w:rPr>
          <w:b/>
          <w:i/>
        </w:rPr>
      </w:pPr>
      <w:r w:rsidRPr="0033727B">
        <w:rPr>
          <w:vertAlign w:val="superscript"/>
        </w:rPr>
        <w:t>b</w:t>
      </w:r>
      <w:r>
        <w:rPr>
          <w:vertAlign w:val="superscript"/>
        </w:rPr>
        <w:t xml:space="preserve"> </w:t>
      </w:r>
      <w:r>
        <w:t xml:space="preserve">Centre for Plasma and Laser Engineering, The </w:t>
      </w:r>
      <w:proofErr w:type="spellStart"/>
      <w:r>
        <w:t>Szewalski</w:t>
      </w:r>
      <w:proofErr w:type="spellEnd"/>
      <w:r>
        <w:t xml:space="preserve"> Institute of Fluid-Flow Machinery, Polish Academy of Sciences, </w:t>
      </w:r>
      <w:proofErr w:type="spellStart"/>
      <w:r>
        <w:t>Fiszera</w:t>
      </w:r>
      <w:proofErr w:type="spellEnd"/>
      <w:r>
        <w:t xml:space="preserve"> 14, 80-231 </w:t>
      </w:r>
      <w:proofErr w:type="spellStart"/>
      <w:r>
        <w:t>Gdańsk</w:t>
      </w:r>
      <w:proofErr w:type="spellEnd"/>
      <w:r>
        <w:t>, Poland</w:t>
      </w:r>
    </w:p>
    <w:p w:rsidR="00325004" w:rsidRDefault="0033727B" w:rsidP="00E0716D">
      <w:pPr>
        <w:jc w:val="center"/>
      </w:pPr>
      <w:hyperlink r:id="rId4" w:history="1">
        <w:r w:rsidRPr="008705C3">
          <w:rPr>
            <w:rStyle w:val="Hipercze"/>
          </w:rPr>
          <w:t>kontrzci@pg.edu.pl</w:t>
        </w:r>
      </w:hyperlink>
    </w:p>
    <w:p w:rsidR="0033727B" w:rsidRDefault="0033727B" w:rsidP="00E0716D">
      <w:pPr>
        <w:jc w:val="center"/>
      </w:pPr>
    </w:p>
    <w:p w:rsidR="0033727B" w:rsidRPr="0033727B" w:rsidRDefault="0033727B" w:rsidP="0033727B">
      <w:pPr>
        <w:pStyle w:val="NormalnyWeb"/>
        <w:ind w:firstLine="720"/>
        <w:contextualSpacing/>
        <w:jc w:val="both"/>
        <w:rPr>
          <w:sz w:val="20"/>
          <w:lang w:val="en-US"/>
        </w:rPr>
      </w:pPr>
      <w:r w:rsidRPr="0033727B">
        <w:rPr>
          <w:sz w:val="20"/>
          <w:lang w:val="en-US"/>
        </w:rPr>
        <w:t>Understanding chemical changes occurring at the electrode/electrolyte interface during photoelectrochemical operation remains challenging. To address this issue, an original in-situ Raman photoelectrochemical approach was developed and applied to a TiO</w:t>
      </w:r>
      <w:r w:rsidR="005017E9" w:rsidRPr="005017E9">
        <w:rPr>
          <w:sz w:val="20"/>
          <w:vertAlign w:val="subscript"/>
          <w:lang w:val="en-US"/>
        </w:rPr>
        <w:t>2</w:t>
      </w:r>
      <w:r w:rsidRPr="0033727B">
        <w:rPr>
          <w:sz w:val="20"/>
          <w:lang w:val="en-US"/>
        </w:rPr>
        <w:t>/Prussian Blue (PB) photoanode.</w:t>
      </w:r>
    </w:p>
    <w:p w:rsidR="0033727B" w:rsidRPr="0033727B" w:rsidRDefault="0033727B" w:rsidP="0033727B">
      <w:pPr>
        <w:pStyle w:val="NormalnyWeb"/>
        <w:ind w:firstLine="720"/>
        <w:contextualSpacing/>
        <w:jc w:val="both"/>
        <w:rPr>
          <w:sz w:val="20"/>
          <w:lang w:val="en-US"/>
        </w:rPr>
      </w:pPr>
      <w:r w:rsidRPr="0033727B">
        <w:rPr>
          <w:sz w:val="20"/>
          <w:lang w:val="en-US"/>
        </w:rPr>
        <w:t>A dedicated photoelectrochemical cell equipped with an optical window enabled simultaneous electrode polarization, UV illumination, and Raman spectrum acquisition. The TiO</w:t>
      </w:r>
      <w:r w:rsidR="005017E9" w:rsidRPr="005017E9">
        <w:rPr>
          <w:sz w:val="20"/>
          <w:vertAlign w:val="subscript"/>
          <w:lang w:val="en-US"/>
        </w:rPr>
        <w:t>2</w:t>
      </w:r>
      <w:r w:rsidRPr="0033727B">
        <w:rPr>
          <w:sz w:val="20"/>
          <w:lang w:val="en-US"/>
        </w:rPr>
        <w:t>/PB assembly was selected as a model system because oxidation of electrochemically reduced Prussian Blue (</w:t>
      </w:r>
      <w:proofErr w:type="spellStart"/>
      <w:r w:rsidRPr="0033727B">
        <w:rPr>
          <w:sz w:val="20"/>
          <w:lang w:val="en-US"/>
        </w:rPr>
        <w:t>Everitt’s</w:t>
      </w:r>
      <w:proofErr w:type="spellEnd"/>
      <w:r w:rsidRPr="0033727B">
        <w:rPr>
          <w:sz w:val="20"/>
          <w:lang w:val="en-US"/>
        </w:rPr>
        <w:t xml:space="preserve"> salt) is possible only under photoexcitation of the semiconductor. Changes in the cyanide stretching region of Raman spectra were used to identify individual iron hexacyanoferrate forms and to follow their transformations in real time.</w:t>
      </w:r>
    </w:p>
    <w:p w:rsidR="0033727B" w:rsidRPr="0033727B" w:rsidRDefault="0033727B" w:rsidP="0033727B">
      <w:pPr>
        <w:pStyle w:val="NormalnyWeb"/>
        <w:ind w:firstLine="720"/>
        <w:contextualSpacing/>
        <w:jc w:val="both"/>
        <w:rPr>
          <w:sz w:val="20"/>
          <w:lang w:val="en-US"/>
        </w:rPr>
      </w:pPr>
      <w:r w:rsidRPr="0033727B">
        <w:rPr>
          <w:sz w:val="20"/>
          <w:lang w:val="en-US"/>
        </w:rPr>
        <w:t xml:space="preserve">The measurements demonstrated that </w:t>
      </w:r>
      <w:proofErr w:type="spellStart"/>
      <w:r w:rsidRPr="0033727B">
        <w:rPr>
          <w:sz w:val="20"/>
          <w:lang w:val="en-US"/>
        </w:rPr>
        <w:t>Everitt’s</w:t>
      </w:r>
      <w:proofErr w:type="spellEnd"/>
      <w:r w:rsidRPr="0033727B">
        <w:rPr>
          <w:sz w:val="20"/>
          <w:lang w:val="en-US"/>
        </w:rPr>
        <w:t xml:space="preserve"> salt remains stable during anodic polarization in the dark, whereas UV illumination induces its photoelectrochemical oxidation to Prussian Blue. Time-resolved Raman experiments allowed direct observation of reaction kinetics and revealed the influence of electrode composition and catalyst loading on the transformation rate. The study also identified limitations associated with photoexcitation induced by the Raman laser itself when highly photoactive nanostructured TiO</w:t>
      </w:r>
      <w:r w:rsidR="005017E9" w:rsidRPr="005017E9">
        <w:rPr>
          <w:sz w:val="20"/>
          <w:vertAlign w:val="subscript"/>
          <w:lang w:val="en-US"/>
        </w:rPr>
        <w:t>2</w:t>
      </w:r>
      <w:r w:rsidRPr="0033727B">
        <w:rPr>
          <w:sz w:val="20"/>
          <w:lang w:val="en-US"/>
        </w:rPr>
        <w:t xml:space="preserve"> electrodes are investigated.</w:t>
      </w:r>
    </w:p>
    <w:p w:rsidR="0033727B" w:rsidRPr="0033727B" w:rsidRDefault="0033727B" w:rsidP="0033727B">
      <w:pPr>
        <w:pStyle w:val="NormalnyWeb"/>
        <w:ind w:firstLine="720"/>
        <w:contextualSpacing/>
        <w:jc w:val="both"/>
        <w:rPr>
          <w:sz w:val="20"/>
          <w:lang w:val="en-US"/>
        </w:rPr>
      </w:pPr>
      <w:r w:rsidRPr="0033727B">
        <w:rPr>
          <w:sz w:val="20"/>
          <w:lang w:val="en-US"/>
        </w:rPr>
        <w:t>The presented methodology provides a new tool for studies of photoelectrodes under operating conditions and can be extended to more complex photoelectrochemical systems used in solar energy conversion and storage.</w:t>
      </w:r>
    </w:p>
    <w:p w:rsidR="00325004" w:rsidRDefault="00325004" w:rsidP="00E0716D">
      <w:pPr>
        <w:jc w:val="both"/>
      </w:pPr>
      <w:bookmarkStart w:id="0" w:name="_GoBack"/>
      <w:bookmarkEnd w:id="0"/>
    </w:p>
    <w:p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33727B"/>
    <w:rsid w:val="005017E9"/>
    <w:rsid w:val="00536366"/>
    <w:rsid w:val="00685C1A"/>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AAA4BE"/>
  <w14:defaultImageDpi w14:val="300"/>
  <w15:docId w15:val="{35492219-AA1A-49DE-B560-06A9091A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3727B"/>
    <w:rPr>
      <w:color w:val="0000FF" w:themeColor="hyperlink"/>
      <w:u w:val="single"/>
    </w:rPr>
  </w:style>
  <w:style w:type="character" w:styleId="Nierozpoznanawzmianka">
    <w:name w:val="Unresolved Mention"/>
    <w:basedOn w:val="Domylnaczcionkaakapitu"/>
    <w:uiPriority w:val="99"/>
    <w:semiHidden/>
    <w:unhideWhenUsed/>
    <w:rsid w:val="0033727B"/>
    <w:rPr>
      <w:color w:val="605E5C"/>
      <w:shd w:val="clear" w:color="auto" w:fill="E1DFDD"/>
    </w:rPr>
  </w:style>
  <w:style w:type="paragraph" w:styleId="NormalnyWeb">
    <w:name w:val="Normal (Web)"/>
    <w:basedOn w:val="Normalny"/>
    <w:uiPriority w:val="99"/>
    <w:semiHidden/>
    <w:unhideWhenUsed/>
    <w:rsid w:val="0033727B"/>
    <w:pPr>
      <w:widowControl/>
      <w:spacing w:before="100" w:beforeAutospacing="1" w:after="100" w:afterAutospacing="1"/>
    </w:pPr>
    <w:rPr>
      <w:snapToGrid/>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53476">
      <w:bodyDiv w:val="1"/>
      <w:marLeft w:val="0"/>
      <w:marRight w:val="0"/>
      <w:marTop w:val="0"/>
      <w:marBottom w:val="0"/>
      <w:divBdr>
        <w:top w:val="none" w:sz="0" w:space="0" w:color="auto"/>
        <w:left w:val="none" w:sz="0" w:space="0" w:color="auto"/>
        <w:bottom w:val="none" w:sz="0" w:space="0" w:color="auto"/>
        <w:right w:val="none" w:sz="0" w:space="0" w:color="auto"/>
      </w:divBdr>
    </w:div>
    <w:div w:id="538514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ontrzci@pg.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1790</Characters>
  <Application>Microsoft Office Word</Application>
  <DocSecurity>0</DocSecurity>
  <Lines>14</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Konrad Trzciński</cp:lastModifiedBy>
  <cp:revision>2</cp:revision>
  <cp:lastPrinted>2013-10-21T12:07:00Z</cp:lastPrinted>
  <dcterms:created xsi:type="dcterms:W3CDTF">2026-06-01T07:32:00Z</dcterms:created>
  <dcterms:modified xsi:type="dcterms:W3CDTF">2026-06-01T07:32:00Z</dcterms:modified>
</cp:coreProperties>
</file>