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0F6C4" w14:textId="10279FD6" w:rsidR="00FA30E4" w:rsidRDefault="00C609D0" w:rsidP="00C609D0">
      <w:pPr>
        <w:spacing w:before="60"/>
        <w:jc w:val="center"/>
        <w:rPr>
          <w:b/>
          <w:bCs/>
          <w:sz w:val="28"/>
          <w:szCs w:val="28"/>
        </w:rPr>
      </w:pPr>
      <w:r w:rsidRPr="00C609D0">
        <w:rPr>
          <w:b/>
          <w:bCs/>
          <w:sz w:val="28"/>
          <w:szCs w:val="28"/>
        </w:rPr>
        <w:t>Understanding the performance of Ni3S2/</w:t>
      </w:r>
      <w:proofErr w:type="spellStart"/>
      <w:r w:rsidRPr="00C609D0">
        <w:rPr>
          <w:b/>
          <w:bCs/>
          <w:sz w:val="28"/>
          <w:szCs w:val="28"/>
        </w:rPr>
        <w:t>NiO</w:t>
      </w:r>
      <w:proofErr w:type="spellEnd"/>
      <w:r w:rsidRPr="00C609D0">
        <w:rPr>
          <w:b/>
          <w:bCs/>
          <w:sz w:val="28"/>
          <w:szCs w:val="28"/>
        </w:rPr>
        <w:t xml:space="preserve"> Heterojunction as a Bifunctional Electrocatalysts for 3000-Hour Stable Splitting of Untreated River Water</w:t>
      </w:r>
    </w:p>
    <w:p w14:paraId="5B2B9C26" w14:textId="77777777" w:rsidR="00C609D0" w:rsidRDefault="00C609D0" w:rsidP="00C609D0">
      <w:pPr>
        <w:spacing w:before="60"/>
        <w:jc w:val="center"/>
      </w:pPr>
    </w:p>
    <w:p w14:paraId="48A7B1B7" w14:textId="22F3F3CF" w:rsidR="00FA30E4" w:rsidRDefault="00C609D0">
      <w:pPr>
        <w:spacing w:after="60"/>
        <w:jc w:val="center"/>
      </w:pPr>
      <w:proofErr w:type="spellStart"/>
      <w:r w:rsidRPr="00C609D0">
        <w:rPr>
          <w:vertAlign w:val="superscript"/>
        </w:rPr>
        <w:t>a</w:t>
      </w:r>
      <w:r>
        <w:t>Sonu</w:t>
      </w:r>
      <w:proofErr w:type="spellEnd"/>
      <w:r>
        <w:t xml:space="preserve"> Kumari, </w:t>
      </w:r>
      <w:proofErr w:type="spellStart"/>
      <w:r w:rsidRPr="00C609D0">
        <w:rPr>
          <w:vertAlign w:val="superscript"/>
        </w:rPr>
        <w:t>a</w:t>
      </w:r>
      <w:r>
        <w:t>Akriti</w:t>
      </w:r>
      <w:proofErr w:type="spellEnd"/>
      <w:r>
        <w:t xml:space="preserve"> Gautam, </w:t>
      </w:r>
      <w:proofErr w:type="spellStart"/>
      <w:r w:rsidRPr="00C609D0">
        <w:rPr>
          <w:vertAlign w:val="superscript"/>
        </w:rPr>
        <w:t>b</w:t>
      </w:r>
      <w:r>
        <w:t>Rahul</w:t>
      </w:r>
      <w:proofErr w:type="spellEnd"/>
      <w:r>
        <w:t xml:space="preserve"> Mitra, </w:t>
      </w:r>
      <w:proofErr w:type="spellStart"/>
      <w:r w:rsidRPr="00C609D0">
        <w:rPr>
          <w:vertAlign w:val="superscript"/>
        </w:rPr>
        <w:t>b</w:t>
      </w:r>
      <w:r>
        <w:t>Krishanu</w:t>
      </w:r>
      <w:proofErr w:type="spellEnd"/>
      <w:r>
        <w:t xml:space="preserve"> Biswas, </w:t>
      </w:r>
      <w:proofErr w:type="spellStart"/>
      <w:r w:rsidRPr="00C609D0">
        <w:rPr>
          <w:vertAlign w:val="superscript"/>
        </w:rPr>
        <w:t>a</w:t>
      </w:r>
      <w:r>
        <w:t>Aditi</w:t>
      </w:r>
      <w:proofErr w:type="spellEnd"/>
      <w:r>
        <w:t xml:space="preserve"> Halder</w:t>
      </w:r>
      <w:r w:rsidRPr="00C609D0">
        <w:rPr>
          <w:vertAlign w:val="superscript"/>
        </w:rPr>
        <w:t>*</w:t>
      </w:r>
    </w:p>
    <w:p w14:paraId="6459A4A0" w14:textId="30C8DF25" w:rsidR="00FA30E4" w:rsidRDefault="00C609D0">
      <w:pPr>
        <w:spacing w:after="60"/>
        <w:jc w:val="center"/>
        <w:rPr>
          <w:i/>
          <w:iCs/>
        </w:rPr>
      </w:pPr>
      <w:proofErr w:type="spellStart"/>
      <w:r w:rsidRPr="00C609D0">
        <w:rPr>
          <w:i/>
          <w:iCs/>
          <w:vertAlign w:val="superscript"/>
        </w:rPr>
        <w:t>a</w:t>
      </w:r>
      <w:r>
        <w:rPr>
          <w:i/>
          <w:iCs/>
        </w:rPr>
        <w:t>School</w:t>
      </w:r>
      <w:proofErr w:type="spellEnd"/>
      <w:r>
        <w:rPr>
          <w:i/>
          <w:iCs/>
        </w:rPr>
        <w:t xml:space="preserve"> of Chemical Sciences, Indian Institute of Technology Mandi, </w:t>
      </w:r>
      <w:proofErr w:type="spellStart"/>
      <w:r>
        <w:rPr>
          <w:i/>
          <w:iCs/>
        </w:rPr>
        <w:t>K</w:t>
      </w:r>
      <w:r>
        <w:rPr>
          <w:i/>
          <w:iCs/>
        </w:rPr>
        <w:t>amand</w:t>
      </w:r>
      <w:proofErr w:type="spellEnd"/>
      <w:r>
        <w:rPr>
          <w:i/>
          <w:iCs/>
        </w:rPr>
        <w:t>, Himachal Pradesh 175075, India</w:t>
      </w:r>
    </w:p>
    <w:p w14:paraId="20C2372D" w14:textId="25254C7C" w:rsidR="00C609D0" w:rsidRPr="00C609D0" w:rsidRDefault="00C609D0">
      <w:pPr>
        <w:spacing w:after="60"/>
        <w:jc w:val="center"/>
        <w:rPr>
          <w:i/>
          <w:iCs/>
        </w:rPr>
      </w:pPr>
      <w:proofErr w:type="spellStart"/>
      <w:r w:rsidRPr="00C609D0">
        <w:rPr>
          <w:i/>
          <w:iCs/>
          <w:vertAlign w:val="superscript"/>
        </w:rPr>
        <w:t>b</w:t>
      </w:r>
      <w:r w:rsidRPr="00C609D0">
        <w:rPr>
          <w:i/>
          <w:iCs/>
        </w:rPr>
        <w:t>Department</w:t>
      </w:r>
      <w:proofErr w:type="spellEnd"/>
      <w:r w:rsidRPr="00C609D0">
        <w:rPr>
          <w:i/>
          <w:iCs/>
        </w:rPr>
        <w:t xml:space="preserve"> of Materials Science and Engineering, Indian Institute of Technology, Kanpur, India</w:t>
      </w:r>
    </w:p>
    <w:p w14:paraId="5E0D8496" w14:textId="03DD1FF9" w:rsidR="00FA30E4" w:rsidRDefault="00C609D0">
      <w:pPr>
        <w:spacing w:after="200"/>
        <w:jc w:val="center"/>
      </w:pPr>
      <w:r>
        <w:rPr>
          <w:i/>
          <w:iCs/>
        </w:rPr>
        <w:t>*aditi</w:t>
      </w:r>
      <w:r>
        <w:rPr>
          <w:i/>
          <w:iCs/>
        </w:rPr>
        <w:t>@iitmandi.ac.in</w:t>
      </w:r>
    </w:p>
    <w:p w14:paraId="47A44F00" w14:textId="77777777" w:rsidR="00FA30E4" w:rsidRDefault="00C609D0">
      <w:pPr>
        <w:spacing w:after="120"/>
        <w:jc w:val="both"/>
      </w:pPr>
      <w:r>
        <w:t>The high capital and operating costs of water electrolysis remain a major barrier to large-scale green hydrogen production. A persistent lab-to-industry gap limits the technology transfer of adva</w:t>
      </w:r>
      <w:r>
        <w:t xml:space="preserve">nced electrode materials, as most proposed electrocatalysts fail the critical tests of durability and scalability under real operating conditions. Herein, we report the </w:t>
      </w:r>
      <w:proofErr w:type="spellStart"/>
      <w:r>
        <w:rPr>
          <w:b/>
          <w:bCs/>
        </w:rPr>
        <w:t>NiOS@ANF</w:t>
      </w:r>
      <w:proofErr w:type="spellEnd"/>
      <w:r>
        <w:t xml:space="preserve"> electrode — a </w:t>
      </w:r>
      <w:proofErr w:type="spellStart"/>
      <w:r>
        <w:t>Ni₃S</w:t>
      </w:r>
      <w:proofErr w:type="spellEnd"/>
      <w:r>
        <w:t>₂/</w:t>
      </w:r>
      <w:proofErr w:type="spellStart"/>
      <w:r>
        <w:t>NiO</w:t>
      </w:r>
      <w:proofErr w:type="spellEnd"/>
      <w:r>
        <w:t xml:space="preserve"> heterojunction on activated nickel foam — synthesised </w:t>
      </w:r>
      <w:r>
        <w:t>via a rapid (&lt; 2 h), scalable (16 cm²), and energy-efficient electrochemical route as a direct alternative to conventional Ni-foam electrodes.</w:t>
      </w:r>
    </w:p>
    <w:p w14:paraId="05778B0B" w14:textId="77777777" w:rsidR="00FA30E4" w:rsidRDefault="00C609D0">
      <w:pPr>
        <w:spacing w:after="120"/>
        <w:jc w:val="both"/>
      </w:pPr>
      <w:r>
        <w:t xml:space="preserve">The engineered </w:t>
      </w:r>
      <w:proofErr w:type="spellStart"/>
      <w:r>
        <w:t>Ni₃S</w:t>
      </w:r>
      <w:proofErr w:type="spellEnd"/>
      <w:r>
        <w:t>₂/</w:t>
      </w:r>
      <w:proofErr w:type="spellStart"/>
      <w:r>
        <w:t>NiO</w:t>
      </w:r>
      <w:proofErr w:type="spellEnd"/>
      <w:r>
        <w:t xml:space="preserve"> interface enables in-situ phase reconstruction that substantially enhances bifunctional </w:t>
      </w:r>
      <w:r>
        <w:t xml:space="preserve">electrocatalytic performance. </w:t>
      </w:r>
      <w:proofErr w:type="spellStart"/>
      <w:r>
        <w:t>NiOS@ANF</w:t>
      </w:r>
      <w:proofErr w:type="spellEnd"/>
      <w:r>
        <w:t xml:space="preserve"> requires 434 mV and 224 mV lower overpotentials for the oxygen evolution reaction (OER) and hydrogen evolution reaction (HER), respectively, compared to bare Ni-foam. These improvements are attributable to reduced cha</w:t>
      </w:r>
      <w:r>
        <w:t>rge transfer resistance (Rₙₜₜ), faster electrode kinetics, and a significant increase in electrochemically active surface area. A conventional Ni-foam cell required 0.4–0.8 V higher operating bias and lost 34% of its activity within only 16 h of operation,</w:t>
      </w:r>
      <w:r>
        <w:t xml:space="preserve"> whereas </w:t>
      </w:r>
      <w:proofErr w:type="spellStart"/>
      <w:r>
        <w:t>NiOS@ANF</w:t>
      </w:r>
      <w:proofErr w:type="spellEnd"/>
      <w:r>
        <w:t xml:space="preserve"> maintained its performance without measurable degradation over the same period.</w:t>
      </w:r>
    </w:p>
    <w:p w14:paraId="561DE8E1" w14:textId="77777777" w:rsidR="00FA30E4" w:rsidRDefault="00C609D0">
      <w:pPr>
        <w:spacing w:after="120"/>
        <w:jc w:val="both"/>
      </w:pPr>
      <w:r>
        <w:t xml:space="preserve">Stability was evaluated under a designed consecutive stability cycling (CSC) protocol in 6 M KOH prepared in untreated river water, demonstrating 126 days of </w:t>
      </w:r>
      <w:r>
        <w:t xml:space="preserve">continuous operation with fully preserved electrode morphology. In river water electrolyte, the </w:t>
      </w:r>
      <w:proofErr w:type="spellStart"/>
      <w:r>
        <w:t>NiOS@ANF</w:t>
      </w:r>
      <w:proofErr w:type="spellEnd"/>
      <w:r>
        <w:t xml:space="preserve"> cell exhibited activity enhancements of 17% for HER and 6% for OER after 24 h of continuous operation, confirming robustness under chemically complex, </w:t>
      </w:r>
      <w:r>
        <w:t>real-world conditions including Cu impurity tolerance.</w:t>
      </w:r>
    </w:p>
    <w:p w14:paraId="547BEF4E" w14:textId="77777777" w:rsidR="00FA30E4" w:rsidRDefault="00C609D0">
      <w:pPr>
        <w:spacing w:after="120"/>
        <w:jc w:val="both"/>
      </w:pPr>
      <w:r>
        <w:t>Mechanistic investigation combining post-catalytic and ex-situ potential-dependent Raman spectroscopy, X-ray photoelectron spectroscopy (XPS), and high-resolution transmission electron microscopy (HR-T</w:t>
      </w:r>
      <w:r>
        <w:t xml:space="preserve">EM) identifies the origin of the enhanced and durable performance. During HER, rapid </w:t>
      </w:r>
      <w:proofErr w:type="spellStart"/>
      <w:r>
        <w:t>Ni₃S</w:t>
      </w:r>
      <w:proofErr w:type="spellEnd"/>
      <w:r>
        <w:t xml:space="preserve">₂ reconstruction generates </w:t>
      </w:r>
      <w:proofErr w:type="spellStart"/>
      <w:r>
        <w:t>NiO</w:t>
      </w:r>
      <w:proofErr w:type="spellEnd"/>
      <w:r>
        <w:t xml:space="preserve"> as the catalytically active phase, characterised by a new Raman mode near 800 cm⁻¹ at cathodic potentials and confirmed by Ni²⁺-dominant</w:t>
      </w:r>
      <w:r>
        <w:t xml:space="preserve"> XPS signatures. During OER, controlled </w:t>
      </w:r>
      <w:proofErr w:type="spellStart"/>
      <w:r>
        <w:t>Ni₃S</w:t>
      </w:r>
      <w:proofErr w:type="spellEnd"/>
      <w:r>
        <w:t>₂/</w:t>
      </w:r>
      <w:proofErr w:type="spellStart"/>
      <w:r>
        <w:t>NiO</w:t>
      </w:r>
      <w:proofErr w:type="spellEnd"/>
      <w:r>
        <w:t xml:space="preserve"> conversion produces </w:t>
      </w:r>
      <w:proofErr w:type="spellStart"/>
      <w:r>
        <w:t>NiOOH</w:t>
      </w:r>
      <w:proofErr w:type="spellEnd"/>
      <w:r>
        <w:t xml:space="preserve"> as the active phase, identified by the emergence of </w:t>
      </w:r>
      <w:proofErr w:type="spellStart"/>
      <w:r>
        <w:t>NiOOH</w:t>
      </w:r>
      <w:proofErr w:type="spellEnd"/>
      <w:r>
        <w:t xml:space="preserve"> Raman peaks at 480–560 cm⁻¹ and increasing Ni³⁺/Ni²⁺ ratio in XPS, with the </w:t>
      </w:r>
      <w:proofErr w:type="spellStart"/>
      <w:r>
        <w:t>NiOOH</w:t>
      </w:r>
      <w:proofErr w:type="spellEnd"/>
      <w:r>
        <w:t xml:space="preserve"> (105) crystal plane confirmed by HR-TEM </w:t>
      </w:r>
      <w:r>
        <w:t xml:space="preserve">after 18 weeks of operation. The distinct rates of reconstruction — rapid for </w:t>
      </w:r>
      <w:proofErr w:type="spellStart"/>
      <w:r>
        <w:t>Ni₃S</w:t>
      </w:r>
      <w:proofErr w:type="spellEnd"/>
      <w:r>
        <w:t xml:space="preserve">₂ and controlled for </w:t>
      </w:r>
      <w:proofErr w:type="spellStart"/>
      <w:r>
        <w:t>NiO</w:t>
      </w:r>
      <w:proofErr w:type="spellEnd"/>
      <w:r>
        <w:t xml:space="preserve"> — are identified as the governing factors for both the superior catalytic activity and the long-term operational durability of the </w:t>
      </w:r>
      <w:proofErr w:type="spellStart"/>
      <w:r>
        <w:t>NiOS@ANF</w:t>
      </w:r>
      <w:proofErr w:type="spellEnd"/>
      <w:r>
        <w:t xml:space="preserve"> electrode</w:t>
      </w:r>
      <w:r>
        <w:t>.</w:t>
      </w:r>
    </w:p>
    <w:sectPr w:rsidR="00FA30E4">
      <w:pgSz w:w="11906" w:h="16838"/>
      <w:pgMar w:top="1701" w:right="1701" w:bottom="170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57920"/>
    <w:multiLevelType w:val="hybridMultilevel"/>
    <w:tmpl w:val="3AF066BE"/>
    <w:lvl w:ilvl="0" w:tplc="E646C0F0">
      <w:start w:val="1"/>
      <w:numFmt w:val="bullet"/>
      <w:lvlText w:val="●"/>
      <w:lvlJc w:val="left"/>
      <w:pPr>
        <w:ind w:left="720" w:hanging="360"/>
      </w:pPr>
    </w:lvl>
    <w:lvl w:ilvl="1" w:tplc="2B000A4A">
      <w:start w:val="1"/>
      <w:numFmt w:val="bullet"/>
      <w:lvlText w:val="○"/>
      <w:lvlJc w:val="left"/>
      <w:pPr>
        <w:ind w:left="1440" w:hanging="360"/>
      </w:pPr>
    </w:lvl>
    <w:lvl w:ilvl="2" w:tplc="046AC0BE">
      <w:start w:val="1"/>
      <w:numFmt w:val="bullet"/>
      <w:lvlText w:val="■"/>
      <w:lvlJc w:val="left"/>
      <w:pPr>
        <w:ind w:left="2160" w:hanging="360"/>
      </w:pPr>
    </w:lvl>
    <w:lvl w:ilvl="3" w:tplc="D1B005C0">
      <w:start w:val="1"/>
      <w:numFmt w:val="bullet"/>
      <w:lvlText w:val="●"/>
      <w:lvlJc w:val="left"/>
      <w:pPr>
        <w:ind w:left="2880" w:hanging="360"/>
      </w:pPr>
    </w:lvl>
    <w:lvl w:ilvl="4" w:tplc="FB4AD750">
      <w:start w:val="1"/>
      <w:numFmt w:val="bullet"/>
      <w:lvlText w:val="○"/>
      <w:lvlJc w:val="left"/>
      <w:pPr>
        <w:ind w:left="3600" w:hanging="360"/>
      </w:pPr>
    </w:lvl>
    <w:lvl w:ilvl="5" w:tplc="A3DEF5FC">
      <w:start w:val="1"/>
      <w:numFmt w:val="bullet"/>
      <w:lvlText w:val="■"/>
      <w:lvlJc w:val="left"/>
      <w:pPr>
        <w:ind w:left="4320" w:hanging="360"/>
      </w:pPr>
    </w:lvl>
    <w:lvl w:ilvl="6" w:tplc="539A98D6">
      <w:start w:val="1"/>
      <w:numFmt w:val="bullet"/>
      <w:lvlText w:val="●"/>
      <w:lvlJc w:val="left"/>
      <w:pPr>
        <w:ind w:left="5040" w:hanging="360"/>
      </w:pPr>
    </w:lvl>
    <w:lvl w:ilvl="7" w:tplc="C5A8448C">
      <w:start w:val="1"/>
      <w:numFmt w:val="bullet"/>
      <w:lvlText w:val="●"/>
      <w:lvlJc w:val="left"/>
      <w:pPr>
        <w:ind w:left="5760" w:hanging="360"/>
      </w:pPr>
    </w:lvl>
    <w:lvl w:ilvl="8" w:tplc="0650832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0E4"/>
    <w:rsid w:val="00C609D0"/>
    <w:rsid w:val="00FA3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9A5F"/>
  <w15:docId w15:val="{C49B543D-A267-4F6E-85AC-8DDEA166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Sonu Kumari</cp:lastModifiedBy>
  <cp:revision>2</cp:revision>
  <dcterms:created xsi:type="dcterms:W3CDTF">2026-04-27T11:52:00Z</dcterms:created>
  <dcterms:modified xsi:type="dcterms:W3CDTF">2026-04-27T11:52:00Z</dcterms:modified>
</cp:coreProperties>
</file>