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238B96" w14:textId="081B74A1" w:rsidR="005207D0" w:rsidRDefault="003126D5" w:rsidP="00E0716D">
      <w:pPr>
        <w:jc w:val="center"/>
        <w:rPr>
          <w:b/>
          <w:sz w:val="28"/>
          <w:lang w:val="en-GB"/>
        </w:rPr>
      </w:pPr>
      <w:r>
        <w:rPr>
          <w:b/>
          <w:sz w:val="28"/>
          <w:lang w:val="en-GB"/>
        </w:rPr>
        <w:t>Spatial</w:t>
      </w:r>
      <w:r w:rsidR="005207D0" w:rsidRPr="005207D0">
        <w:rPr>
          <w:b/>
          <w:sz w:val="28"/>
          <w:lang w:val="en-GB"/>
        </w:rPr>
        <w:t xml:space="preserve"> </w:t>
      </w:r>
      <w:r>
        <w:rPr>
          <w:b/>
          <w:sz w:val="28"/>
          <w:lang w:val="en-GB"/>
        </w:rPr>
        <w:t>Analysis</w:t>
      </w:r>
      <w:r w:rsidR="005207D0" w:rsidRPr="005207D0">
        <w:rPr>
          <w:b/>
          <w:sz w:val="28"/>
          <w:lang w:val="en-GB"/>
        </w:rPr>
        <w:t xml:space="preserve"> in CO₂ Electrolyzers through Segmented Mapping</w:t>
      </w:r>
    </w:p>
    <w:p w14:paraId="112375F2" w14:textId="77777777" w:rsidR="005207D0" w:rsidRPr="003126D5" w:rsidRDefault="005207D0" w:rsidP="00E0716D">
      <w:pPr>
        <w:jc w:val="center"/>
        <w:rPr>
          <w:u w:val="single"/>
          <w:lang w:val="en-GB"/>
        </w:rPr>
      </w:pPr>
    </w:p>
    <w:p w14:paraId="218C5557" w14:textId="34763DAE" w:rsidR="00325004" w:rsidRPr="009644F6" w:rsidRDefault="00AE44B8" w:rsidP="00E0716D">
      <w:pPr>
        <w:jc w:val="center"/>
        <w:rPr>
          <w:lang w:val="en-GB"/>
        </w:rPr>
      </w:pPr>
      <w:r w:rsidRPr="009644F6">
        <w:rPr>
          <w:u w:val="single"/>
          <w:lang w:val="en-GB"/>
        </w:rPr>
        <w:t>Pedro Arias Villarroel</w:t>
      </w:r>
      <w:r w:rsidR="009644F6" w:rsidRPr="009644F6">
        <w:rPr>
          <w:u w:val="single"/>
          <w:vertAlign w:val="superscript"/>
          <w:lang w:val="en-GB"/>
        </w:rPr>
        <w:t>1,2</w:t>
      </w:r>
      <w:r w:rsidR="00325004" w:rsidRPr="009644F6">
        <w:rPr>
          <w:lang w:val="en-GB"/>
        </w:rPr>
        <w:t xml:space="preserve">, </w:t>
      </w:r>
      <w:r w:rsidRPr="009644F6">
        <w:rPr>
          <w:lang w:val="en-GB"/>
        </w:rPr>
        <w:t>Egon Kecsenovity</w:t>
      </w:r>
      <w:r w:rsidR="009644F6" w:rsidRPr="009644F6">
        <w:rPr>
          <w:vertAlign w:val="superscript"/>
          <w:lang w:val="en-GB"/>
        </w:rPr>
        <w:t>1</w:t>
      </w:r>
      <w:r w:rsidRPr="009644F6">
        <w:rPr>
          <w:lang w:val="en-GB"/>
        </w:rPr>
        <w:t>, Csaba Janáky</w:t>
      </w:r>
      <w:r w:rsidR="009644F6" w:rsidRPr="009644F6">
        <w:rPr>
          <w:vertAlign w:val="superscript"/>
          <w:lang w:val="en-GB"/>
        </w:rPr>
        <w:t>1,2</w:t>
      </w:r>
    </w:p>
    <w:p w14:paraId="232234E6" w14:textId="7488AF93" w:rsidR="00325004" w:rsidRDefault="007E4377" w:rsidP="00AE44B8">
      <w:pPr>
        <w:jc w:val="center"/>
        <w:rPr>
          <w:i/>
        </w:rPr>
      </w:pPr>
      <w:r w:rsidRPr="007E4377">
        <w:rPr>
          <w:i/>
          <w:vertAlign w:val="superscript"/>
        </w:rPr>
        <w:t>1</w:t>
      </w:r>
      <w:r w:rsidR="00AE44B8" w:rsidRPr="005731C5">
        <w:rPr>
          <w:i/>
        </w:rPr>
        <w:t>eChemicles</w:t>
      </w:r>
      <w:r w:rsidR="009644F6">
        <w:rPr>
          <w:i/>
        </w:rPr>
        <w:t xml:space="preserve"> </w:t>
      </w:r>
      <w:proofErr w:type="spellStart"/>
      <w:r w:rsidR="009644F6">
        <w:rPr>
          <w:i/>
        </w:rPr>
        <w:t>Zrt</w:t>
      </w:r>
      <w:proofErr w:type="spellEnd"/>
      <w:r w:rsidR="009644F6">
        <w:rPr>
          <w:i/>
        </w:rPr>
        <w:t>.</w:t>
      </w:r>
    </w:p>
    <w:p w14:paraId="1E36E08C" w14:textId="3AC49968" w:rsidR="009644F6" w:rsidRPr="005731C5" w:rsidRDefault="007E4377" w:rsidP="00AE44B8">
      <w:pPr>
        <w:jc w:val="center"/>
        <w:rPr>
          <w:i/>
        </w:rPr>
      </w:pPr>
      <w:r w:rsidRPr="007E4377">
        <w:rPr>
          <w:i/>
          <w:vertAlign w:val="superscript"/>
        </w:rPr>
        <w:t>2</w:t>
      </w:r>
      <w:r w:rsidRPr="007E4377">
        <w:rPr>
          <w:i/>
        </w:rPr>
        <w:t>Department of Physical Chemistry and Materials Science, University of Szeged</w:t>
      </w:r>
    </w:p>
    <w:p w14:paraId="72540F41" w14:textId="009D224A" w:rsidR="00685C1A" w:rsidRPr="005731C5" w:rsidRDefault="0045446E" w:rsidP="00E0716D">
      <w:pPr>
        <w:jc w:val="center"/>
        <w:rPr>
          <w:i/>
        </w:rPr>
      </w:pPr>
      <w:hyperlink r:id="rId4" w:history="1">
        <w:r w:rsidR="00AE44B8" w:rsidRPr="005731C5">
          <w:rPr>
            <w:rStyle w:val="Hyperlink"/>
            <w:i/>
          </w:rPr>
          <w:t>pedro.ariasvillarroel@echemicles.com</w:t>
        </w:r>
      </w:hyperlink>
    </w:p>
    <w:p w14:paraId="155F603A" w14:textId="33D77A55" w:rsidR="00AE44B8" w:rsidRPr="003462C3" w:rsidRDefault="00AE44B8" w:rsidP="00497C05">
      <w:pPr>
        <w:jc w:val="center"/>
        <w:rPr>
          <w:i/>
          <w:lang w:val="en-GB"/>
        </w:rPr>
      </w:pPr>
      <w:proofErr w:type="spellStart"/>
      <w:r w:rsidRPr="003462C3">
        <w:rPr>
          <w:i/>
          <w:lang w:val="en-GB"/>
        </w:rPr>
        <w:t>Budapesti</w:t>
      </w:r>
      <w:proofErr w:type="spellEnd"/>
      <w:r w:rsidRPr="003462C3">
        <w:rPr>
          <w:i/>
          <w:lang w:val="en-GB"/>
        </w:rPr>
        <w:t xml:space="preserve"> </w:t>
      </w:r>
      <w:proofErr w:type="spellStart"/>
      <w:r w:rsidRPr="003462C3">
        <w:rPr>
          <w:i/>
          <w:lang w:val="en-GB"/>
        </w:rPr>
        <w:t>útca</w:t>
      </w:r>
      <w:proofErr w:type="spellEnd"/>
      <w:r w:rsidRPr="003462C3">
        <w:rPr>
          <w:i/>
          <w:lang w:val="en-GB"/>
        </w:rPr>
        <w:t xml:space="preserve"> 9, 6728, Szeged, Hungary</w:t>
      </w:r>
    </w:p>
    <w:p w14:paraId="3C947CD5" w14:textId="77777777" w:rsidR="00DF08E6" w:rsidRDefault="00DF08E6" w:rsidP="00DF08E6">
      <w:pPr>
        <w:jc w:val="both"/>
        <w:rPr>
          <w:lang w:val="en-GB"/>
        </w:rPr>
      </w:pPr>
    </w:p>
    <w:p w14:paraId="5EF6E1A7" w14:textId="3CF748B8" w:rsidR="00DF08E6" w:rsidRPr="00DF08E6" w:rsidRDefault="009F7F93" w:rsidP="00DF08E6">
      <w:pPr>
        <w:spacing w:after="240"/>
        <w:jc w:val="both"/>
        <w:rPr>
          <w:lang w:val="en-GB"/>
        </w:rPr>
      </w:pPr>
      <w:r w:rsidRPr="00DF08E6">
        <w:rPr>
          <w:lang w:val="en-GB"/>
        </w:rPr>
        <w:t>CO</w:t>
      </w:r>
      <w:r w:rsidRPr="00C10E96">
        <w:rPr>
          <w:vertAlign w:val="subscript"/>
          <w:lang w:val="en-GB"/>
        </w:rPr>
        <w:t>2</w:t>
      </w:r>
      <w:r w:rsidRPr="00DF08E6">
        <w:rPr>
          <w:lang w:val="en-GB"/>
        </w:rPr>
        <w:t xml:space="preserve"> </w:t>
      </w:r>
      <w:r w:rsidR="00DF08E6" w:rsidRPr="00DF08E6">
        <w:rPr>
          <w:lang w:val="en-GB"/>
        </w:rPr>
        <w:t>electrolysis offers a compelling route to convert captured CO</w:t>
      </w:r>
      <w:r w:rsidR="00DF08E6" w:rsidRPr="00C10E96">
        <w:rPr>
          <w:vertAlign w:val="subscript"/>
          <w:lang w:val="en-GB"/>
        </w:rPr>
        <w:t>2</w:t>
      </w:r>
      <w:r w:rsidR="00DF08E6" w:rsidRPr="00DF08E6">
        <w:rPr>
          <w:lang w:val="en-GB"/>
        </w:rPr>
        <w:t xml:space="preserve"> into fuels and chemicals that can be reintegrated into existing industrial value chains. As the field advances toward industrially relevant current densities, high selectivity, and long-term stability, understanding spatial variations across the electrolyzer becomes increasingly important for reliable scale-up.</w:t>
      </w:r>
    </w:p>
    <w:p w14:paraId="4BFEFFEA" w14:textId="6074999B" w:rsidR="00DF08E6" w:rsidRPr="00DF08E6" w:rsidRDefault="00DF08E6" w:rsidP="00DF08E6">
      <w:pPr>
        <w:spacing w:after="240"/>
        <w:jc w:val="both"/>
        <w:rPr>
          <w:lang w:val="en-GB"/>
        </w:rPr>
      </w:pPr>
      <w:r w:rsidRPr="00DF08E6">
        <w:rPr>
          <w:lang w:val="en-GB"/>
        </w:rPr>
        <w:t xml:space="preserve">In larger zero-gap cells, local operating conditions can differ substantially from the average </w:t>
      </w:r>
      <w:proofErr w:type="spellStart"/>
      <w:r w:rsidRPr="00DF08E6">
        <w:rPr>
          <w:lang w:val="en-GB"/>
        </w:rPr>
        <w:t>behavior</w:t>
      </w:r>
      <w:proofErr w:type="spellEnd"/>
      <w:r w:rsidRPr="00DF08E6">
        <w:rPr>
          <w:lang w:val="en-GB"/>
        </w:rPr>
        <w:t xml:space="preserve"> of the full reactor. Variations in </w:t>
      </w:r>
      <w:r w:rsidR="009F7F93" w:rsidRPr="00DF08E6">
        <w:rPr>
          <w:lang w:val="en-GB"/>
        </w:rPr>
        <w:t>CO</w:t>
      </w:r>
      <w:r w:rsidR="009F7F93" w:rsidRPr="00C10E96">
        <w:rPr>
          <w:vertAlign w:val="subscript"/>
          <w:lang w:val="en-GB"/>
        </w:rPr>
        <w:t>2</w:t>
      </w:r>
      <w:r w:rsidR="009F7F93" w:rsidRPr="00DF08E6">
        <w:rPr>
          <w:lang w:val="en-GB"/>
        </w:rPr>
        <w:t xml:space="preserve"> </w:t>
      </w:r>
      <w:r w:rsidRPr="00DF08E6">
        <w:rPr>
          <w:lang w:val="en-GB"/>
        </w:rPr>
        <w:t>availability, gas transport, and ionic conduction can lead to region-dependent changes in selectivity and current distribution, even when the overall cell performance appears stable. Capturing these spatial effects is essential for identifying the origins of inefficiencies and for guiding future reactor design.</w:t>
      </w:r>
    </w:p>
    <w:p w14:paraId="4538219C" w14:textId="6125A9BA" w:rsidR="00DF08E6" w:rsidRPr="00DF08E6" w:rsidRDefault="00DF08E6" w:rsidP="00DF08E6">
      <w:pPr>
        <w:spacing w:after="240"/>
        <w:jc w:val="both"/>
        <w:rPr>
          <w:lang w:val="en-GB"/>
        </w:rPr>
      </w:pPr>
      <w:r w:rsidRPr="00DF08E6">
        <w:rPr>
          <w:lang w:val="en-GB"/>
        </w:rPr>
        <w:t xml:space="preserve">In this work, we introduce a zero-gap AEM </w:t>
      </w:r>
      <w:r w:rsidR="009F7F93" w:rsidRPr="00DF08E6">
        <w:rPr>
          <w:lang w:val="en-GB"/>
        </w:rPr>
        <w:t>CO</w:t>
      </w:r>
      <w:r w:rsidR="009F7F93" w:rsidRPr="00C10E96">
        <w:rPr>
          <w:vertAlign w:val="subscript"/>
          <w:lang w:val="en-GB"/>
        </w:rPr>
        <w:t>2</w:t>
      </w:r>
      <w:r w:rsidR="009F7F93" w:rsidRPr="00DF08E6">
        <w:rPr>
          <w:lang w:val="en-GB"/>
        </w:rPr>
        <w:t xml:space="preserve"> </w:t>
      </w:r>
      <w:r w:rsidRPr="00DF08E6">
        <w:rPr>
          <w:lang w:val="en-GB"/>
        </w:rPr>
        <w:t xml:space="preserve">electrolyzer equipped with </w:t>
      </w:r>
      <w:r w:rsidR="00EB3B71">
        <w:rPr>
          <w:lang w:val="en-GB"/>
        </w:rPr>
        <w:t>local</w:t>
      </w:r>
      <w:r w:rsidRPr="00DF08E6">
        <w:rPr>
          <w:lang w:val="en-GB"/>
        </w:rPr>
        <w:t xml:space="preserve"> current-density measurement and operando cathode gas </w:t>
      </w:r>
      <w:r w:rsidR="00EB3B71">
        <w:rPr>
          <w:lang w:val="en-GB"/>
        </w:rPr>
        <w:t>on-line analysis</w:t>
      </w:r>
      <w:r w:rsidRPr="00DF08E6">
        <w:rPr>
          <w:lang w:val="en-GB"/>
        </w:rPr>
        <w:t xml:space="preserve"> at multiple points along the flow path. This setup enables simultaneous tracking of local current density and local gas composition, revealing how product distribution changes across the cell and where parasitic hydrogen evolution emerges under </w:t>
      </w:r>
      <w:r w:rsidR="009F7F93" w:rsidRPr="00DF08E6">
        <w:rPr>
          <w:lang w:val="en-GB"/>
        </w:rPr>
        <w:t>CO</w:t>
      </w:r>
      <w:r w:rsidR="009F7F93" w:rsidRPr="00C10E96">
        <w:rPr>
          <w:vertAlign w:val="subscript"/>
          <w:lang w:val="en-GB"/>
        </w:rPr>
        <w:t>2</w:t>
      </w:r>
      <w:r w:rsidRPr="00DF08E6">
        <w:rPr>
          <w:lang w:val="en-GB"/>
        </w:rPr>
        <w:t>-starved conditions.</w:t>
      </w:r>
    </w:p>
    <w:p w14:paraId="407CAC74" w14:textId="4CE882F9" w:rsidR="00DF08E6" w:rsidRPr="00DF08E6" w:rsidRDefault="00DF08E6" w:rsidP="00DF08E6">
      <w:pPr>
        <w:spacing w:after="240"/>
        <w:jc w:val="both"/>
        <w:rPr>
          <w:lang w:val="en-GB"/>
        </w:rPr>
      </w:pPr>
      <w:r w:rsidRPr="00DF08E6">
        <w:rPr>
          <w:lang w:val="en-GB"/>
        </w:rPr>
        <w:t xml:space="preserve">The cathode analysis shows that </w:t>
      </w:r>
      <w:r w:rsidR="009F7F93" w:rsidRPr="00DF08E6">
        <w:rPr>
          <w:lang w:val="en-GB"/>
        </w:rPr>
        <w:t>CO</w:t>
      </w:r>
      <w:r w:rsidR="009F7F93" w:rsidRPr="00C10E96">
        <w:rPr>
          <w:vertAlign w:val="subscript"/>
          <w:lang w:val="en-GB"/>
        </w:rPr>
        <w:t>2</w:t>
      </w:r>
      <w:r w:rsidR="009F7F93" w:rsidRPr="00DF08E6">
        <w:rPr>
          <w:lang w:val="en-GB"/>
        </w:rPr>
        <w:t xml:space="preserve"> </w:t>
      </w:r>
      <w:r w:rsidRPr="00DF08E6">
        <w:rPr>
          <w:lang w:val="en-GB"/>
        </w:rPr>
        <w:t>is progressively consumed along the reactor pathway, while CO form</w:t>
      </w:r>
      <w:r w:rsidR="00A33D47">
        <w:rPr>
          <w:lang w:val="en-GB"/>
        </w:rPr>
        <w:t>s</w:t>
      </w:r>
      <w:r w:rsidRPr="00DF08E6">
        <w:rPr>
          <w:lang w:val="en-GB"/>
        </w:rPr>
        <w:t xml:space="preserve"> and hydrogen evolution increase</w:t>
      </w:r>
      <w:r w:rsidR="00A33D47">
        <w:rPr>
          <w:lang w:val="en-GB"/>
        </w:rPr>
        <w:t>s</w:t>
      </w:r>
      <w:r w:rsidRPr="00DF08E6">
        <w:rPr>
          <w:lang w:val="en-GB"/>
        </w:rPr>
        <w:t xml:space="preserve"> downstream, leading to clear spatial gradients in selectivity. In parallel, the segmented current collector reveals pronounced local variations in current density, </w:t>
      </w:r>
      <w:r w:rsidR="00C062B4">
        <w:rPr>
          <w:lang w:val="en-GB"/>
        </w:rPr>
        <w:t>determined by the operational conditions of the electrolyzer.</w:t>
      </w:r>
    </w:p>
    <w:p w14:paraId="6FD80BFF" w14:textId="726BAA3C" w:rsidR="00DF08E6" w:rsidRDefault="00DF08E6" w:rsidP="00DF08E6">
      <w:pPr>
        <w:jc w:val="both"/>
        <w:rPr>
          <w:lang w:val="en-GB"/>
        </w:rPr>
      </w:pPr>
      <w:r w:rsidRPr="00DF08E6">
        <w:rPr>
          <w:lang w:val="en-GB"/>
        </w:rPr>
        <w:t>The</w:t>
      </w:r>
      <w:r w:rsidR="00165D3D">
        <w:rPr>
          <w:lang w:val="en-GB"/>
        </w:rPr>
        <w:t xml:space="preserve"> presented</w:t>
      </w:r>
      <w:r w:rsidRPr="00DF08E6">
        <w:rPr>
          <w:lang w:val="en-GB"/>
        </w:rPr>
        <w:t xml:space="preserve"> measurements demonstrate that averaged outlet data can mask substantial in-cell heterogeneity in both reaction selectivity and current distribution. By combining segmented current mapping with spatially resolved cathode gas analysis, we provide a more complete picture of reactor performance and highlight the importance of local diagnostics for understanding and optimizing </w:t>
      </w:r>
      <w:r w:rsidR="009F7F93" w:rsidRPr="00DF08E6">
        <w:rPr>
          <w:lang w:val="en-GB"/>
        </w:rPr>
        <w:t>CO</w:t>
      </w:r>
      <w:r w:rsidR="009F7F93" w:rsidRPr="00C10E96">
        <w:rPr>
          <w:vertAlign w:val="subscript"/>
          <w:lang w:val="en-GB"/>
        </w:rPr>
        <w:t>2</w:t>
      </w:r>
      <w:r w:rsidR="009F7F93" w:rsidRPr="00DF08E6">
        <w:rPr>
          <w:lang w:val="en-GB"/>
        </w:rPr>
        <w:t xml:space="preserve"> </w:t>
      </w:r>
      <w:r w:rsidRPr="00DF08E6">
        <w:rPr>
          <w:lang w:val="en-GB"/>
        </w:rPr>
        <w:t>electrolyzers.</w:t>
      </w:r>
    </w:p>
    <w:p w14:paraId="106FAB62" w14:textId="66B618DD" w:rsidR="00E0716D" w:rsidRDefault="00DF08E6" w:rsidP="00DF08E6">
      <w:pPr>
        <w:spacing w:before="240"/>
        <w:jc w:val="both"/>
        <w:rPr>
          <w:lang w:val="en-GB"/>
        </w:rPr>
      </w:pPr>
      <w:r w:rsidRPr="00DF08E6">
        <w:rPr>
          <w:lang w:val="en-GB"/>
        </w:rPr>
        <w:t>Beyond the cathode</w:t>
      </w:r>
      <w:r w:rsidR="006B18D4">
        <w:rPr>
          <w:lang w:val="en-GB"/>
        </w:rPr>
        <w:t xml:space="preserve"> segmentation</w:t>
      </w:r>
      <w:r w:rsidRPr="00DF08E6">
        <w:rPr>
          <w:lang w:val="en-GB"/>
        </w:rPr>
        <w:t>,</w:t>
      </w:r>
      <w:r w:rsidR="006B18D4">
        <w:rPr>
          <w:lang w:val="en-GB"/>
        </w:rPr>
        <w:t xml:space="preserve"> in my talk I will introduce how</w:t>
      </w:r>
      <w:r w:rsidRPr="00DF08E6">
        <w:rPr>
          <w:lang w:val="en-GB"/>
        </w:rPr>
        <w:t xml:space="preserve"> the same platform is being expanded to uncover spatially resolved anode-side transport phenomena that </w:t>
      </w:r>
      <w:r w:rsidR="006B18D4">
        <w:rPr>
          <w:lang w:val="en-GB"/>
        </w:rPr>
        <w:t>can</w:t>
      </w:r>
      <w:r w:rsidRPr="00DF08E6">
        <w:rPr>
          <w:lang w:val="en-GB"/>
        </w:rPr>
        <w:t xml:space="preserve"> help complete the picture of carbon management in </w:t>
      </w:r>
      <w:r w:rsidR="009F7F93" w:rsidRPr="00DF08E6">
        <w:rPr>
          <w:lang w:val="en-GB"/>
        </w:rPr>
        <w:t>CO</w:t>
      </w:r>
      <w:r w:rsidR="009F7F93" w:rsidRPr="00C10E96">
        <w:rPr>
          <w:vertAlign w:val="subscript"/>
          <w:lang w:val="en-GB"/>
        </w:rPr>
        <w:t>2</w:t>
      </w:r>
      <w:r w:rsidR="009F7F93" w:rsidRPr="00DF08E6">
        <w:rPr>
          <w:lang w:val="en-GB"/>
        </w:rPr>
        <w:t xml:space="preserve"> </w:t>
      </w:r>
      <w:r w:rsidRPr="00DF08E6">
        <w:rPr>
          <w:lang w:val="en-GB"/>
        </w:rPr>
        <w:t>electrolysis.</w:t>
      </w:r>
    </w:p>
    <w:p w14:paraId="3B52B5D6" w14:textId="39D3AFDA" w:rsidR="00463B1E" w:rsidRDefault="00463B1E" w:rsidP="00DF08E6">
      <w:pPr>
        <w:spacing w:before="240"/>
        <w:jc w:val="both"/>
        <w:rPr>
          <w:i/>
          <w:iCs/>
          <w:lang w:val="en-GB"/>
        </w:rPr>
      </w:pPr>
      <w:r w:rsidRPr="00AF525B">
        <w:rPr>
          <w:i/>
          <w:iCs/>
          <w:lang w:val="en-GB"/>
        </w:rPr>
        <w:t>R</w:t>
      </w:r>
      <w:r w:rsidR="00AF525B" w:rsidRPr="00AF525B">
        <w:rPr>
          <w:i/>
          <w:iCs/>
          <w:lang w:val="en-GB"/>
        </w:rPr>
        <w:t>eference:</w:t>
      </w:r>
    </w:p>
    <w:p w14:paraId="78412299" w14:textId="77777777" w:rsidR="0078235A" w:rsidRPr="0078235A" w:rsidRDefault="0078235A" w:rsidP="0078235A">
      <w:pPr>
        <w:pStyle w:val="my-2"/>
        <w:rPr>
          <w:b/>
          <w:bCs/>
          <w:sz w:val="20"/>
          <w:szCs w:val="20"/>
        </w:rPr>
      </w:pPr>
      <w:r w:rsidRPr="0078235A">
        <w:rPr>
          <w:rStyle w:val="Strong"/>
          <w:b w:val="0"/>
          <w:bCs w:val="0"/>
          <w:sz w:val="20"/>
          <w:szCs w:val="20"/>
        </w:rPr>
        <w:t xml:space="preserve">Arias Villarroel, P.; Kecsenovity, E.; Janáky, C. </w:t>
      </w:r>
      <w:r w:rsidRPr="0078235A">
        <w:rPr>
          <w:rStyle w:val="Emphasis"/>
          <w:sz w:val="20"/>
          <w:szCs w:val="20"/>
        </w:rPr>
        <w:t>Local Variations in Current Density and Selectivity in CO</w:t>
      </w:r>
      <w:r w:rsidRPr="0093335C">
        <w:rPr>
          <w:rStyle w:val="Emphasis"/>
          <w:sz w:val="20"/>
          <w:szCs w:val="20"/>
          <w:vertAlign w:val="subscript"/>
        </w:rPr>
        <w:t>2</w:t>
      </w:r>
      <w:r w:rsidRPr="0078235A">
        <w:rPr>
          <w:rStyle w:val="Emphasis"/>
          <w:sz w:val="20"/>
          <w:szCs w:val="20"/>
        </w:rPr>
        <w:t xml:space="preserve"> Electrolyzers</w:t>
      </w:r>
      <w:r w:rsidRPr="0078235A">
        <w:rPr>
          <w:rStyle w:val="Strong"/>
          <w:b w:val="0"/>
          <w:bCs w:val="0"/>
          <w:sz w:val="20"/>
          <w:szCs w:val="20"/>
        </w:rPr>
        <w:t>. ACS Energy Lett. 2026, 11, 2029–2037.</w:t>
      </w:r>
    </w:p>
    <w:p w14:paraId="3E84A463" w14:textId="77777777" w:rsidR="00AF525B" w:rsidRPr="00AF525B" w:rsidRDefault="00AF525B" w:rsidP="00DF08E6">
      <w:pPr>
        <w:spacing w:before="240"/>
        <w:jc w:val="both"/>
        <w:rPr>
          <w:lang w:val="en-GB"/>
        </w:rPr>
      </w:pPr>
    </w:p>
    <w:sectPr w:rsidR="00AF525B" w:rsidRPr="00AF525B"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344AD"/>
    <w:rsid w:val="00041EFD"/>
    <w:rsid w:val="00165D3D"/>
    <w:rsid w:val="003126D5"/>
    <w:rsid w:val="00325004"/>
    <w:rsid w:val="00341FD1"/>
    <w:rsid w:val="003462C3"/>
    <w:rsid w:val="00436F28"/>
    <w:rsid w:val="0045446E"/>
    <w:rsid w:val="00463B1E"/>
    <w:rsid w:val="00497C05"/>
    <w:rsid w:val="005207D0"/>
    <w:rsid w:val="00536366"/>
    <w:rsid w:val="005731C5"/>
    <w:rsid w:val="005F6512"/>
    <w:rsid w:val="00685C1A"/>
    <w:rsid w:val="006954BF"/>
    <w:rsid w:val="006B18D4"/>
    <w:rsid w:val="006F374C"/>
    <w:rsid w:val="007725EA"/>
    <w:rsid w:val="0078235A"/>
    <w:rsid w:val="007E4377"/>
    <w:rsid w:val="008C48BD"/>
    <w:rsid w:val="009221F3"/>
    <w:rsid w:val="0093335C"/>
    <w:rsid w:val="009644F6"/>
    <w:rsid w:val="009F7F93"/>
    <w:rsid w:val="00A33D47"/>
    <w:rsid w:val="00AE44B8"/>
    <w:rsid w:val="00AF525B"/>
    <w:rsid w:val="00BA1D0F"/>
    <w:rsid w:val="00BD1D5B"/>
    <w:rsid w:val="00C062B4"/>
    <w:rsid w:val="00C10E96"/>
    <w:rsid w:val="00D06AC0"/>
    <w:rsid w:val="00DF08E6"/>
    <w:rsid w:val="00E0716D"/>
    <w:rsid w:val="00E5679B"/>
    <w:rsid w:val="00EB3B7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50ECB1"/>
  <w14:defaultImageDpi w14:val="300"/>
  <w15:docId w15:val="{077F0A67-32C2-4923-893B-BED2B4EAD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44B8"/>
    <w:rPr>
      <w:color w:val="0000FF" w:themeColor="hyperlink"/>
      <w:u w:val="single"/>
    </w:rPr>
  </w:style>
  <w:style w:type="character" w:styleId="UnresolvedMention">
    <w:name w:val="Unresolved Mention"/>
    <w:basedOn w:val="DefaultParagraphFont"/>
    <w:uiPriority w:val="99"/>
    <w:semiHidden/>
    <w:unhideWhenUsed/>
    <w:rsid w:val="00AE44B8"/>
    <w:rPr>
      <w:color w:val="605E5C"/>
      <w:shd w:val="clear" w:color="auto" w:fill="E1DFDD"/>
    </w:rPr>
  </w:style>
  <w:style w:type="paragraph" w:customStyle="1" w:styleId="my-2">
    <w:name w:val="my-2"/>
    <w:basedOn w:val="Normal"/>
    <w:rsid w:val="0078235A"/>
    <w:pPr>
      <w:widowControl/>
      <w:spacing w:before="100" w:beforeAutospacing="1" w:after="100" w:afterAutospacing="1"/>
    </w:pPr>
    <w:rPr>
      <w:snapToGrid/>
      <w:sz w:val="24"/>
      <w:szCs w:val="24"/>
      <w:lang w:val="en-GB" w:eastAsia="en-GB"/>
    </w:rPr>
  </w:style>
  <w:style w:type="character" w:styleId="Strong">
    <w:name w:val="Strong"/>
    <w:basedOn w:val="DefaultParagraphFont"/>
    <w:uiPriority w:val="22"/>
    <w:qFormat/>
    <w:rsid w:val="0078235A"/>
    <w:rPr>
      <w:b/>
      <w:bCs/>
    </w:rPr>
  </w:style>
  <w:style w:type="character" w:styleId="Emphasis">
    <w:name w:val="Emphasis"/>
    <w:basedOn w:val="DefaultParagraphFont"/>
    <w:uiPriority w:val="20"/>
    <w:qFormat/>
    <w:rsid w:val="007823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050960">
      <w:bodyDiv w:val="1"/>
      <w:marLeft w:val="0"/>
      <w:marRight w:val="0"/>
      <w:marTop w:val="0"/>
      <w:marBottom w:val="0"/>
      <w:divBdr>
        <w:top w:val="none" w:sz="0" w:space="0" w:color="auto"/>
        <w:left w:val="none" w:sz="0" w:space="0" w:color="auto"/>
        <w:bottom w:val="none" w:sz="0" w:space="0" w:color="auto"/>
        <w:right w:val="none" w:sz="0" w:space="0" w:color="auto"/>
      </w:divBdr>
      <w:divsChild>
        <w:div w:id="992828639">
          <w:marLeft w:val="0"/>
          <w:marRight w:val="0"/>
          <w:marTop w:val="0"/>
          <w:marBottom w:val="0"/>
          <w:divBdr>
            <w:top w:val="none" w:sz="0" w:space="0" w:color="auto"/>
            <w:left w:val="none" w:sz="0" w:space="0" w:color="auto"/>
            <w:bottom w:val="none" w:sz="0" w:space="0" w:color="auto"/>
            <w:right w:val="none" w:sz="0" w:space="0" w:color="auto"/>
          </w:divBdr>
        </w:div>
      </w:divsChild>
    </w:div>
    <w:div w:id="158665899">
      <w:bodyDiv w:val="1"/>
      <w:marLeft w:val="0"/>
      <w:marRight w:val="0"/>
      <w:marTop w:val="0"/>
      <w:marBottom w:val="0"/>
      <w:divBdr>
        <w:top w:val="none" w:sz="0" w:space="0" w:color="auto"/>
        <w:left w:val="none" w:sz="0" w:space="0" w:color="auto"/>
        <w:bottom w:val="none" w:sz="0" w:space="0" w:color="auto"/>
        <w:right w:val="none" w:sz="0" w:space="0" w:color="auto"/>
      </w:divBdr>
    </w:div>
    <w:div w:id="958728233">
      <w:bodyDiv w:val="1"/>
      <w:marLeft w:val="0"/>
      <w:marRight w:val="0"/>
      <w:marTop w:val="0"/>
      <w:marBottom w:val="0"/>
      <w:divBdr>
        <w:top w:val="none" w:sz="0" w:space="0" w:color="auto"/>
        <w:left w:val="none" w:sz="0" w:space="0" w:color="auto"/>
        <w:bottom w:val="none" w:sz="0" w:space="0" w:color="auto"/>
        <w:right w:val="none" w:sz="0" w:space="0" w:color="auto"/>
      </w:divBdr>
    </w:div>
    <w:div w:id="1222449826">
      <w:bodyDiv w:val="1"/>
      <w:marLeft w:val="0"/>
      <w:marRight w:val="0"/>
      <w:marTop w:val="0"/>
      <w:marBottom w:val="0"/>
      <w:divBdr>
        <w:top w:val="none" w:sz="0" w:space="0" w:color="auto"/>
        <w:left w:val="none" w:sz="0" w:space="0" w:color="auto"/>
        <w:bottom w:val="none" w:sz="0" w:space="0" w:color="auto"/>
        <w:right w:val="none" w:sz="0" w:space="0" w:color="auto"/>
      </w:divBdr>
    </w:div>
    <w:div w:id="1355959248">
      <w:bodyDiv w:val="1"/>
      <w:marLeft w:val="0"/>
      <w:marRight w:val="0"/>
      <w:marTop w:val="0"/>
      <w:marBottom w:val="0"/>
      <w:divBdr>
        <w:top w:val="none" w:sz="0" w:space="0" w:color="auto"/>
        <w:left w:val="none" w:sz="0" w:space="0" w:color="auto"/>
        <w:bottom w:val="none" w:sz="0" w:space="0" w:color="auto"/>
        <w:right w:val="none" w:sz="0" w:space="0" w:color="auto"/>
      </w:divBdr>
    </w:div>
    <w:div w:id="153264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dro.ariasvillarroel@echemicl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Pedro Arias Villarroel</dc:creator>
  <cp:keywords/>
  <cp:lastModifiedBy>Pedro Arias Villaroel</cp:lastModifiedBy>
  <cp:revision>2</cp:revision>
  <cp:lastPrinted>2026-06-01T14:19:00Z</cp:lastPrinted>
  <dcterms:created xsi:type="dcterms:W3CDTF">2026-06-01T14:29:00Z</dcterms:created>
  <dcterms:modified xsi:type="dcterms:W3CDTF">2026-06-01T14:29:00Z</dcterms:modified>
</cp:coreProperties>
</file>