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A59A9" w14:textId="7FCB2FF3" w:rsidR="0066269E" w:rsidRPr="003D4F99" w:rsidRDefault="002E6DFB" w:rsidP="00597F9F">
      <w:pPr>
        <w:spacing w:after="120"/>
        <w:jc w:val="center"/>
        <w:rPr>
          <w:rFonts w:ascii="Times New Roman" w:hAnsi="Times New Roman" w:cs="Times New Roman"/>
          <w:sz w:val="34"/>
          <w:szCs w:val="34"/>
        </w:rPr>
      </w:pPr>
      <w:r w:rsidRPr="003D4F99">
        <w:rPr>
          <w:rFonts w:ascii="Times New Roman" w:hAnsi="Times New Roman" w:cs="Times New Roman"/>
          <w:sz w:val="34"/>
          <w:szCs w:val="34"/>
        </w:rPr>
        <w:t xml:space="preserve">Optimization of </w:t>
      </w:r>
      <w:proofErr w:type="spellStart"/>
      <w:r w:rsidRPr="003D4F99">
        <w:rPr>
          <w:rFonts w:ascii="Times New Roman" w:hAnsi="Times New Roman" w:cs="Times New Roman"/>
          <w:sz w:val="34"/>
          <w:szCs w:val="34"/>
        </w:rPr>
        <w:t>Al₂O</w:t>
      </w:r>
      <w:proofErr w:type="spellEnd"/>
      <w:r w:rsidRPr="003D4F99">
        <w:rPr>
          <w:rFonts w:ascii="Times New Roman" w:hAnsi="Times New Roman" w:cs="Times New Roman"/>
          <w:sz w:val="34"/>
          <w:szCs w:val="34"/>
        </w:rPr>
        <w:t>₃ Filler Content in PVDF-HFP Based Quasi-Solid-State Electrolytes for Enhanced Electrochemical</w:t>
      </w:r>
      <w:r w:rsidR="003D4F99">
        <w:rPr>
          <w:rFonts w:ascii="Times New Roman" w:hAnsi="Times New Roman" w:cs="Times New Roman" w:hint="eastAsia"/>
          <w:sz w:val="34"/>
          <w:szCs w:val="34"/>
        </w:rPr>
        <w:t xml:space="preserve"> </w:t>
      </w:r>
      <w:r w:rsidRPr="003D4F99">
        <w:rPr>
          <w:rFonts w:ascii="Times New Roman" w:hAnsi="Times New Roman" w:cs="Times New Roman"/>
          <w:sz w:val="34"/>
          <w:szCs w:val="34"/>
        </w:rPr>
        <w:t>Performance of High-Energy-Density Lithium-Ion Batteries</w:t>
      </w:r>
    </w:p>
    <w:p w14:paraId="25EBFF06" w14:textId="77777777" w:rsidR="002E6DFB" w:rsidRPr="0066269E" w:rsidRDefault="002E6DFB" w:rsidP="00597F9F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0A263" w14:textId="3DE8EB9F" w:rsidR="00561C37" w:rsidRDefault="00E37F14" w:rsidP="00597F9F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66269E">
        <w:rPr>
          <w:rFonts w:ascii="Times New Roman" w:hAnsi="Times New Roman" w:cs="Times New Roman"/>
          <w:sz w:val="20"/>
          <w:szCs w:val="20"/>
          <w:u w:val="single"/>
        </w:rPr>
        <w:t>Duck</w:t>
      </w:r>
      <w:r w:rsidR="00664B6D">
        <w:rPr>
          <w:rFonts w:ascii="Times New Roman" w:hAnsi="Times New Roman" w:cs="Times New Roman" w:hint="eastAsia"/>
          <w:sz w:val="20"/>
          <w:szCs w:val="20"/>
          <w:u w:val="single"/>
        </w:rPr>
        <w:t>-</w:t>
      </w:r>
      <w:r w:rsidRPr="0066269E">
        <w:rPr>
          <w:rFonts w:ascii="Times New Roman" w:hAnsi="Times New Roman" w:cs="Times New Roman"/>
          <w:sz w:val="20"/>
          <w:szCs w:val="20"/>
          <w:u w:val="single"/>
        </w:rPr>
        <w:t xml:space="preserve"> Rye</w:t>
      </w:r>
      <w:r w:rsidR="00664B6D">
        <w:rPr>
          <w:rFonts w:ascii="Times New Roman" w:hAnsi="Times New Roman" w:cs="Times New Roman" w:hint="eastAsia"/>
          <w:sz w:val="20"/>
          <w:szCs w:val="20"/>
          <w:u w:val="single"/>
        </w:rPr>
        <w:t xml:space="preserve"> Chang</w:t>
      </w:r>
      <w:r w:rsidRPr="0066269E">
        <w:rPr>
          <w:rFonts w:ascii="Times New Roman" w:hAnsi="Times New Roman" w:cs="Times New Roman"/>
          <w:sz w:val="20"/>
          <w:szCs w:val="20"/>
        </w:rPr>
        <w:t xml:space="preserve">, </w:t>
      </w:r>
      <w:r w:rsidR="00561C37" w:rsidRPr="0066269E">
        <w:rPr>
          <w:rFonts w:ascii="Times New Roman" w:hAnsi="Times New Roman" w:cs="Times New Roman"/>
          <w:sz w:val="20"/>
          <w:szCs w:val="20"/>
        </w:rPr>
        <w:t>Dong</w:t>
      </w:r>
      <w:r w:rsidR="00664B6D">
        <w:rPr>
          <w:rFonts w:ascii="Times New Roman" w:hAnsi="Times New Roman" w:cs="Times New Roman" w:hint="eastAsia"/>
          <w:sz w:val="20"/>
          <w:szCs w:val="20"/>
        </w:rPr>
        <w:t>-</w:t>
      </w:r>
      <w:r w:rsidR="00561C37" w:rsidRPr="0066269E">
        <w:rPr>
          <w:rFonts w:ascii="Times New Roman" w:hAnsi="Times New Roman" w:cs="Times New Roman"/>
          <w:sz w:val="20"/>
          <w:szCs w:val="20"/>
        </w:rPr>
        <w:t xml:space="preserve"> </w:t>
      </w:r>
      <w:r w:rsidRPr="0066269E">
        <w:rPr>
          <w:rFonts w:ascii="Times New Roman" w:hAnsi="Times New Roman" w:cs="Times New Roman"/>
          <w:sz w:val="20"/>
          <w:szCs w:val="20"/>
        </w:rPr>
        <w:t>J</w:t>
      </w:r>
      <w:r w:rsidR="00561C37" w:rsidRPr="0066269E">
        <w:rPr>
          <w:rFonts w:ascii="Times New Roman" w:hAnsi="Times New Roman" w:cs="Times New Roman"/>
          <w:sz w:val="20"/>
          <w:szCs w:val="20"/>
        </w:rPr>
        <w:t>un</w:t>
      </w:r>
      <w:r w:rsidR="00664B6D">
        <w:rPr>
          <w:rFonts w:ascii="Times New Roman" w:hAnsi="Times New Roman" w:cs="Times New Roman" w:hint="eastAsia"/>
          <w:sz w:val="20"/>
          <w:szCs w:val="20"/>
        </w:rPr>
        <w:t xml:space="preserve"> Park</w:t>
      </w:r>
      <w:r w:rsidR="00A01808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3D4F99">
        <w:rPr>
          <w:rFonts w:ascii="Times New Roman" w:hAnsi="Times New Roman" w:cs="Times New Roman" w:hint="eastAsia"/>
          <w:sz w:val="20"/>
          <w:szCs w:val="20"/>
        </w:rPr>
        <w:t>Sang-Yoon Kim, Seung-Hyong Kang</w:t>
      </w:r>
    </w:p>
    <w:p w14:paraId="47DADFDE" w14:textId="146FC712" w:rsidR="0066269E" w:rsidRPr="00597F9F" w:rsidRDefault="0066269E" w:rsidP="00597F9F">
      <w:pPr>
        <w:spacing w:after="12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97F9F">
        <w:rPr>
          <w:rFonts w:ascii="Times New Roman" w:hAnsi="Times New Roman" w:cs="Times New Roman"/>
          <w:i/>
          <w:iCs/>
          <w:sz w:val="20"/>
          <w:szCs w:val="20"/>
        </w:rPr>
        <w:t>Korea Institute of Industrial Technology</w:t>
      </w:r>
    </w:p>
    <w:p w14:paraId="435DD94A" w14:textId="4FB7A9F6" w:rsidR="0066269E" w:rsidRPr="00597F9F" w:rsidRDefault="0066269E" w:rsidP="00597F9F">
      <w:pPr>
        <w:spacing w:after="12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97F9F">
        <w:rPr>
          <w:rFonts w:ascii="Times New Roman" w:hAnsi="Times New Roman" w:cs="Times New Roman"/>
          <w:i/>
          <w:iCs/>
          <w:sz w:val="20"/>
          <w:szCs w:val="20"/>
        </w:rPr>
        <w:t xml:space="preserve">6, </w:t>
      </w:r>
      <w:proofErr w:type="spellStart"/>
      <w:r w:rsidRPr="00597F9F">
        <w:rPr>
          <w:rFonts w:ascii="Times New Roman" w:hAnsi="Times New Roman" w:cs="Times New Roman"/>
          <w:i/>
          <w:iCs/>
          <w:sz w:val="20"/>
          <w:szCs w:val="20"/>
        </w:rPr>
        <w:t>Cheomdan-gwagiro</w:t>
      </w:r>
      <w:proofErr w:type="spellEnd"/>
      <w:r w:rsidRPr="00597F9F">
        <w:rPr>
          <w:rFonts w:ascii="Times New Roman" w:hAnsi="Times New Roman" w:cs="Times New Roman"/>
          <w:i/>
          <w:iCs/>
          <w:sz w:val="20"/>
          <w:szCs w:val="20"/>
        </w:rPr>
        <w:t xml:space="preserve"> 208-gil, Buk-Gu, </w:t>
      </w:r>
      <w:proofErr w:type="spellStart"/>
      <w:r w:rsidRPr="00597F9F">
        <w:rPr>
          <w:rFonts w:ascii="Times New Roman" w:hAnsi="Times New Roman" w:cs="Times New Roman"/>
          <w:i/>
          <w:iCs/>
          <w:sz w:val="20"/>
          <w:szCs w:val="20"/>
        </w:rPr>
        <w:t>GwangJu</w:t>
      </w:r>
      <w:proofErr w:type="spellEnd"/>
      <w:r w:rsidRPr="00597F9F">
        <w:rPr>
          <w:rFonts w:ascii="Times New Roman" w:hAnsi="Times New Roman" w:cs="Times New Roman"/>
          <w:i/>
          <w:iCs/>
          <w:sz w:val="20"/>
          <w:szCs w:val="20"/>
        </w:rPr>
        <w:t>, Korea</w:t>
      </w:r>
    </w:p>
    <w:p w14:paraId="25CAD1F5" w14:textId="33D0A2AB" w:rsidR="0066269E" w:rsidRDefault="0066269E" w:rsidP="00597F9F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drchang@kitech.re.kr</w:t>
      </w:r>
    </w:p>
    <w:p w14:paraId="2A00B063" w14:textId="77777777" w:rsidR="00561C37" w:rsidRPr="00597F9F" w:rsidRDefault="00561C37" w:rsidP="00807FCE">
      <w:pPr>
        <w:jc w:val="both"/>
        <w:rPr>
          <w:sz w:val="20"/>
          <w:szCs w:val="20"/>
        </w:rPr>
      </w:pPr>
    </w:p>
    <w:p w14:paraId="5E457D7C" w14:textId="77777777" w:rsidR="00807FCE" w:rsidRPr="00597F9F" w:rsidRDefault="00807FCE" w:rsidP="00597F9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8207183"/>
      <w:r w:rsidRPr="00597F9F">
        <w:rPr>
          <w:rFonts w:ascii="Times New Roman" w:hAnsi="Times New Roman" w:cs="Times New Roman"/>
          <w:sz w:val="20"/>
          <w:szCs w:val="20"/>
        </w:rPr>
        <w:t xml:space="preserve">The development of next-generation lithium-ion batteries requires electrolyte systems that provide enhanced safety while maintaining high ionic conductivity and electrochemical stability. Quasi-solid-state polymer electrolytes (QSPEs) based on PVDF-HFP have attracted significant attention; however, their performance is strongly influenced by the type and content of inorganic nanofillers. In this study, the effect of </w:t>
      </w:r>
      <w:proofErr w:type="spellStart"/>
      <w:r w:rsidRPr="00597F9F">
        <w:rPr>
          <w:rFonts w:ascii="Times New Roman" w:hAnsi="Times New Roman" w:cs="Times New Roman"/>
          <w:sz w:val="20"/>
          <w:szCs w:val="20"/>
        </w:rPr>
        <w:t>Al₂O</w:t>
      </w:r>
      <w:proofErr w:type="spellEnd"/>
      <w:r w:rsidRPr="00597F9F">
        <w:rPr>
          <w:rFonts w:ascii="Times New Roman" w:hAnsi="Times New Roman" w:cs="Times New Roman"/>
          <w:sz w:val="20"/>
          <w:szCs w:val="20"/>
        </w:rPr>
        <w:t xml:space="preserve">₃ nanofiller concentration (0–90 </w:t>
      </w:r>
      <w:proofErr w:type="spellStart"/>
      <w:r w:rsidRPr="00597F9F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Pr="00597F9F">
        <w:rPr>
          <w:rFonts w:ascii="Times New Roman" w:hAnsi="Times New Roman" w:cs="Times New Roman"/>
          <w:sz w:val="20"/>
          <w:szCs w:val="20"/>
        </w:rPr>
        <w:t>%) on the physicochemical and electrochemical properties of PVDF-HFP-based QSPEs was systematically investigated to determine the optimal composition.</w:t>
      </w:r>
    </w:p>
    <w:p w14:paraId="2AEBD5B7" w14:textId="77777777" w:rsidR="00807FCE" w:rsidRPr="00597F9F" w:rsidRDefault="00807FCE" w:rsidP="00597F9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597F9F">
        <w:rPr>
          <w:rFonts w:ascii="Times New Roman" w:hAnsi="Times New Roman" w:cs="Times New Roman"/>
          <w:sz w:val="20"/>
          <w:szCs w:val="20"/>
        </w:rPr>
        <w:t xml:space="preserve">Among the compositions studied, 15 </w:t>
      </w:r>
      <w:proofErr w:type="spellStart"/>
      <w:r w:rsidRPr="00597F9F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Pr="00597F9F">
        <w:rPr>
          <w:rFonts w:ascii="Times New Roman" w:hAnsi="Times New Roman" w:cs="Times New Roman"/>
          <w:sz w:val="20"/>
          <w:szCs w:val="20"/>
        </w:rPr>
        <w:t xml:space="preserve">% </w:t>
      </w:r>
      <w:proofErr w:type="spellStart"/>
      <w:r w:rsidRPr="00597F9F">
        <w:rPr>
          <w:rFonts w:ascii="Times New Roman" w:hAnsi="Times New Roman" w:cs="Times New Roman"/>
          <w:sz w:val="20"/>
          <w:szCs w:val="20"/>
        </w:rPr>
        <w:t>Al₂O</w:t>
      </w:r>
      <w:proofErr w:type="spellEnd"/>
      <w:r w:rsidRPr="00597F9F">
        <w:rPr>
          <w:rFonts w:ascii="Times New Roman" w:hAnsi="Times New Roman" w:cs="Times New Roman"/>
          <w:sz w:val="20"/>
          <w:szCs w:val="20"/>
        </w:rPr>
        <w:t xml:space="preserve">₃ demonstrated the best overall performance. The optimized electrolyte exhibited improved surface uniformity and high mechanical strength (72.68 </w:t>
      </w:r>
      <w:proofErr w:type="spellStart"/>
      <w:r w:rsidRPr="00597F9F">
        <w:rPr>
          <w:rFonts w:ascii="Times New Roman" w:hAnsi="Times New Roman" w:cs="Times New Roman"/>
          <w:sz w:val="20"/>
          <w:szCs w:val="20"/>
        </w:rPr>
        <w:t>kgf</w:t>
      </w:r>
      <w:proofErr w:type="spellEnd"/>
      <w:r w:rsidRPr="00597F9F">
        <w:rPr>
          <w:rFonts w:ascii="Times New Roman" w:hAnsi="Times New Roman" w:cs="Times New Roman"/>
          <w:sz w:val="20"/>
          <w:szCs w:val="20"/>
        </w:rPr>
        <w:t xml:space="preserve">/cm²), along with superior electrochemical characteristics, including an ionic conductivity of 4.13 mS/cm, a lithium-ion transference number of 0.58, and a wide electrochemical stability window of 4.9 V at room temperature. These improvements are attributed to the synergistic role of </w:t>
      </w:r>
      <w:proofErr w:type="spellStart"/>
      <w:r w:rsidRPr="00597F9F">
        <w:rPr>
          <w:rFonts w:ascii="Times New Roman" w:hAnsi="Times New Roman" w:cs="Times New Roman"/>
          <w:sz w:val="20"/>
          <w:szCs w:val="20"/>
        </w:rPr>
        <w:t>Al₂O</w:t>
      </w:r>
      <w:proofErr w:type="spellEnd"/>
      <w:r w:rsidRPr="00597F9F">
        <w:rPr>
          <w:rFonts w:ascii="Times New Roman" w:hAnsi="Times New Roman" w:cs="Times New Roman"/>
          <w:sz w:val="20"/>
          <w:szCs w:val="20"/>
        </w:rPr>
        <w:t xml:space="preserve">₃ nanoparticles, which increase the amorphous phase of the polymer matrix and facilitate lithium-ion dissociation through </w:t>
      </w:r>
      <w:proofErr w:type="gramStart"/>
      <w:r w:rsidRPr="00597F9F">
        <w:rPr>
          <w:rFonts w:ascii="Times New Roman" w:hAnsi="Times New Roman" w:cs="Times New Roman"/>
          <w:sz w:val="20"/>
          <w:szCs w:val="20"/>
        </w:rPr>
        <w:t>Lewis</w:t>
      </w:r>
      <w:proofErr w:type="gramEnd"/>
      <w:r w:rsidRPr="00597F9F">
        <w:rPr>
          <w:rFonts w:ascii="Times New Roman" w:hAnsi="Times New Roman" w:cs="Times New Roman"/>
          <w:sz w:val="20"/>
          <w:szCs w:val="20"/>
        </w:rPr>
        <w:t xml:space="preserve"> acid–base interactions that immobilize anions.</w:t>
      </w:r>
    </w:p>
    <w:p w14:paraId="347294E3" w14:textId="77777777" w:rsidR="00807FCE" w:rsidRPr="00597F9F" w:rsidRDefault="00807FCE" w:rsidP="00597F9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597F9F">
        <w:rPr>
          <w:rFonts w:ascii="Times New Roman" w:hAnsi="Times New Roman" w:cs="Times New Roman"/>
          <w:sz w:val="20"/>
          <w:szCs w:val="20"/>
        </w:rPr>
        <w:t xml:space="preserve">In contrast, excessive filler content (&gt;30 </w:t>
      </w:r>
      <w:proofErr w:type="spellStart"/>
      <w:r w:rsidRPr="00597F9F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Pr="00597F9F">
        <w:rPr>
          <w:rFonts w:ascii="Times New Roman" w:hAnsi="Times New Roman" w:cs="Times New Roman"/>
          <w:sz w:val="20"/>
          <w:szCs w:val="20"/>
        </w:rPr>
        <w:t>%) led to nanoparticle aggregation and reduced plasticizer effectiveness, resulting in degraded ionic transport and mechanical properties. To evaluate practical applicability, quasi-solid-state full cells using NCM811 cathodes and Gr-</w:t>
      </w:r>
      <w:proofErr w:type="spellStart"/>
      <w:r w:rsidRPr="00597F9F">
        <w:rPr>
          <w:rFonts w:ascii="Times New Roman" w:hAnsi="Times New Roman" w:cs="Times New Roman"/>
          <w:sz w:val="20"/>
          <w:szCs w:val="20"/>
        </w:rPr>
        <w:t>SiOx</w:t>
      </w:r>
      <w:proofErr w:type="spellEnd"/>
      <w:r w:rsidRPr="00597F9F">
        <w:rPr>
          <w:rFonts w:ascii="Times New Roman" w:hAnsi="Times New Roman" w:cs="Times New Roman"/>
          <w:sz w:val="20"/>
          <w:szCs w:val="20"/>
        </w:rPr>
        <w:t xml:space="preserve"> anodes were fabricated. The optimized electrolyte showed the lowest interfacial resistance, stable rate capability, and maintained over 80% capacity retention after 300 cycles at 0.5C.</w:t>
      </w:r>
    </w:p>
    <w:p w14:paraId="2AC6A647" w14:textId="625FE66C" w:rsidR="00807FCE" w:rsidRDefault="00807FCE" w:rsidP="00597F9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597F9F">
        <w:rPr>
          <w:rFonts w:ascii="Times New Roman" w:hAnsi="Times New Roman" w:cs="Times New Roman"/>
          <w:sz w:val="20"/>
          <w:szCs w:val="20"/>
        </w:rPr>
        <w:t xml:space="preserve">These results provide important design guidelines for optimizing nanofiller content in QSPEs for safe, high-performance lithium-ion batteries. </w:t>
      </w:r>
    </w:p>
    <w:p w14:paraId="5139C00F" w14:textId="77777777" w:rsidR="00597F9F" w:rsidRPr="00597F9F" w:rsidRDefault="00597F9F" w:rsidP="00597F9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14:paraId="3C57B9E5" w14:textId="21ECA87C" w:rsidR="008E1B47" w:rsidRDefault="00E90AF4" w:rsidP="00597F9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597F9F">
        <w:rPr>
          <w:rFonts w:ascii="Times New Roman" w:hAnsi="Times New Roman" w:cs="Times New Roman"/>
          <w:sz w:val="20"/>
          <w:szCs w:val="20"/>
        </w:rPr>
        <w:t>This research was supported by the Ministry of Trade, Industry and Energy (MOTIE), Republic of Korea, under Project No. RS-2025-02315132</w:t>
      </w:r>
    </w:p>
    <w:p w14:paraId="59475C30" w14:textId="77777777" w:rsidR="00597F9F" w:rsidRPr="00597F9F" w:rsidRDefault="00597F9F" w:rsidP="00597F9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14:paraId="6C9A9111" w14:textId="538E8215" w:rsidR="008E1B47" w:rsidRPr="00597F9F" w:rsidRDefault="008E1B47" w:rsidP="00597F9F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597F9F">
        <w:rPr>
          <w:rFonts w:ascii="Times New Roman" w:hAnsi="Times New Roman" w:cs="Times New Roman"/>
          <w:sz w:val="20"/>
          <w:szCs w:val="20"/>
        </w:rPr>
        <w:t xml:space="preserve">Keywords: Quasi-solid-state electrolyte, PVDF-HFP, Al2O3 nanofiller, </w:t>
      </w:r>
      <w:proofErr w:type="gramStart"/>
      <w:r w:rsidRPr="00597F9F">
        <w:rPr>
          <w:rFonts w:ascii="Times New Roman" w:hAnsi="Times New Roman" w:cs="Times New Roman"/>
          <w:sz w:val="20"/>
          <w:szCs w:val="20"/>
        </w:rPr>
        <w:t>Lewis</w:t>
      </w:r>
      <w:proofErr w:type="gramEnd"/>
      <w:r w:rsidRPr="00597F9F">
        <w:rPr>
          <w:rFonts w:ascii="Times New Roman" w:hAnsi="Times New Roman" w:cs="Times New Roman"/>
          <w:sz w:val="20"/>
          <w:szCs w:val="20"/>
        </w:rPr>
        <w:t xml:space="preserve"> acid-base integration, NCM811</w:t>
      </w:r>
      <w:bookmarkEnd w:id="0"/>
    </w:p>
    <w:sectPr w:rsidR="008E1B47" w:rsidRPr="00597F9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72616" w14:textId="77777777" w:rsidR="00CB5A55" w:rsidRDefault="00CB5A55" w:rsidP="00E37F14">
      <w:pPr>
        <w:spacing w:after="0"/>
      </w:pPr>
      <w:r>
        <w:separator/>
      </w:r>
    </w:p>
  </w:endnote>
  <w:endnote w:type="continuationSeparator" w:id="0">
    <w:p w14:paraId="727B9F69" w14:textId="77777777" w:rsidR="00CB5A55" w:rsidRDefault="00CB5A55" w:rsidP="00E37F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FC680" w14:textId="77777777" w:rsidR="00CB5A55" w:rsidRDefault="00CB5A55" w:rsidP="00E37F14">
      <w:pPr>
        <w:spacing w:after="0"/>
      </w:pPr>
      <w:r>
        <w:separator/>
      </w:r>
    </w:p>
  </w:footnote>
  <w:footnote w:type="continuationSeparator" w:id="0">
    <w:p w14:paraId="3ADC361E" w14:textId="77777777" w:rsidR="00CB5A55" w:rsidRDefault="00CB5A55" w:rsidP="00E37F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CE"/>
    <w:rsid w:val="00100A9C"/>
    <w:rsid w:val="00187082"/>
    <w:rsid w:val="002505A8"/>
    <w:rsid w:val="002A6160"/>
    <w:rsid w:val="002E6DFB"/>
    <w:rsid w:val="0031777A"/>
    <w:rsid w:val="00383D47"/>
    <w:rsid w:val="003D4F99"/>
    <w:rsid w:val="0043650A"/>
    <w:rsid w:val="004F1CE5"/>
    <w:rsid w:val="005471FC"/>
    <w:rsid w:val="00561C37"/>
    <w:rsid w:val="00597F9F"/>
    <w:rsid w:val="00647CCF"/>
    <w:rsid w:val="0066269E"/>
    <w:rsid w:val="00664B6D"/>
    <w:rsid w:val="00787D78"/>
    <w:rsid w:val="007F62AA"/>
    <w:rsid w:val="00807FCE"/>
    <w:rsid w:val="008C4FE1"/>
    <w:rsid w:val="008E1B47"/>
    <w:rsid w:val="0097698C"/>
    <w:rsid w:val="00A01808"/>
    <w:rsid w:val="00A55E46"/>
    <w:rsid w:val="00B17EF8"/>
    <w:rsid w:val="00C71793"/>
    <w:rsid w:val="00CB5A55"/>
    <w:rsid w:val="00DB7136"/>
    <w:rsid w:val="00E07B5C"/>
    <w:rsid w:val="00E37F14"/>
    <w:rsid w:val="00E90AF4"/>
    <w:rsid w:val="00E979D0"/>
    <w:rsid w:val="00EC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99027"/>
  <w15:chartTrackingRefBased/>
  <w15:docId w15:val="{0655B5BA-5C12-4E53-958C-92F19115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07F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07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07F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7F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7F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07F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07F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07F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07F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07F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07F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07FC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07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07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07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07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07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07F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07F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07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07F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07F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07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07FC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07FC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07FC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07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07FC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07FC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37F1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37F14"/>
  </w:style>
  <w:style w:type="paragraph" w:styleId="ab">
    <w:name w:val="footer"/>
    <w:basedOn w:val="a"/>
    <w:link w:val="Char4"/>
    <w:uiPriority w:val="99"/>
    <w:unhideWhenUsed/>
    <w:rsid w:val="00E37F14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37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5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4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9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0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2026-02-13T05:50:00Z</dcterms:created>
  <dcterms:modified xsi:type="dcterms:W3CDTF">2026-05-21T04:05:00Z</dcterms:modified>
</cp:coreProperties>
</file>