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CDCA2" w14:textId="715DD214" w:rsidR="00325004" w:rsidRPr="00A86EB9" w:rsidRDefault="00AD113E" w:rsidP="00300E2F">
      <w:pPr>
        <w:jc w:val="center"/>
        <w:rPr>
          <w:b/>
          <w:sz w:val="28"/>
        </w:rPr>
      </w:pPr>
      <w:r>
        <w:rPr>
          <w:b/>
          <w:sz w:val="28"/>
        </w:rPr>
        <w:t>Ni-Cu Hollow Nanocages as Active Catalysts for Ammonia Oxidation</w:t>
      </w:r>
    </w:p>
    <w:p w14:paraId="5298DA30" w14:textId="77777777" w:rsidR="00325004" w:rsidRPr="00A86EB9" w:rsidRDefault="00325004" w:rsidP="00E0716D">
      <w:pPr>
        <w:jc w:val="center"/>
        <w:rPr>
          <w:b/>
          <w:sz w:val="28"/>
        </w:rPr>
      </w:pPr>
    </w:p>
    <w:p w14:paraId="12B8FAF0" w14:textId="77777777" w:rsidR="003366DD" w:rsidRDefault="003366DD" w:rsidP="00E0716D">
      <w:pPr>
        <w:jc w:val="center"/>
        <w:rPr>
          <w:lang w:val="es-ES"/>
        </w:rPr>
      </w:pPr>
      <w:r w:rsidRPr="003366DD">
        <w:rPr>
          <w:lang w:val="es-ES"/>
        </w:rPr>
        <w:t>Abraham Castilla-</w:t>
      </w:r>
      <w:proofErr w:type="spellStart"/>
      <w:r w:rsidRPr="003366DD">
        <w:rPr>
          <w:lang w:val="es-ES"/>
        </w:rPr>
        <w:t>Silvestre</w:t>
      </w:r>
      <w:r w:rsidRPr="003366DD">
        <w:rPr>
          <w:vertAlign w:val="superscript"/>
          <w:lang w:val="es-ES"/>
        </w:rPr>
        <w:t>a</w:t>
      </w:r>
      <w:proofErr w:type="spellEnd"/>
      <w:r w:rsidRPr="003366DD">
        <w:rPr>
          <w:lang w:val="es-ES"/>
        </w:rPr>
        <w:t>, Sergio Díaz-</w:t>
      </w:r>
      <w:proofErr w:type="spellStart"/>
      <w:proofErr w:type="gramStart"/>
      <w:r w:rsidRPr="003366DD">
        <w:rPr>
          <w:lang w:val="es-ES"/>
        </w:rPr>
        <w:t>Coello</w:t>
      </w:r>
      <w:r>
        <w:rPr>
          <w:vertAlign w:val="superscript"/>
          <w:lang w:val="es-ES"/>
        </w:rPr>
        <w:t>a,b</w:t>
      </w:r>
      <w:proofErr w:type="spellEnd"/>
      <w:proofErr w:type="gramEnd"/>
      <w:r w:rsidRPr="003366DD">
        <w:rPr>
          <w:lang w:val="es-ES"/>
        </w:rPr>
        <w:t>, Julia Kunze-</w:t>
      </w:r>
      <w:proofErr w:type="spellStart"/>
      <w:r w:rsidRPr="003366DD">
        <w:rPr>
          <w:lang w:val="es-ES"/>
        </w:rPr>
        <w:t>Liebhäuser</w:t>
      </w:r>
      <w:r w:rsidRPr="003366DD">
        <w:rPr>
          <w:vertAlign w:val="superscript"/>
          <w:lang w:val="es-ES"/>
        </w:rPr>
        <w:t>b</w:t>
      </w:r>
      <w:proofErr w:type="spellEnd"/>
      <w:r w:rsidRPr="003366DD">
        <w:rPr>
          <w:lang w:val="es-ES"/>
        </w:rPr>
        <w:t>, Rubén Rizo</w:t>
      </w:r>
      <w:r w:rsidRPr="003366DD">
        <w:rPr>
          <w:vertAlign w:val="superscript"/>
          <w:lang w:val="es-ES"/>
        </w:rPr>
        <w:t>c</w:t>
      </w:r>
      <w:r w:rsidRPr="003366DD">
        <w:rPr>
          <w:lang w:val="es-ES"/>
        </w:rPr>
        <w:t xml:space="preserve">, </w:t>
      </w:r>
      <w:r w:rsidRPr="00DD79D6">
        <w:rPr>
          <w:u w:val="single"/>
          <w:lang w:val="es-ES"/>
        </w:rPr>
        <w:t>Elena Pastor</w:t>
      </w:r>
      <w:r w:rsidRPr="00DD79D6">
        <w:rPr>
          <w:u w:val="single"/>
          <w:vertAlign w:val="superscript"/>
          <w:lang w:val="es-ES"/>
        </w:rPr>
        <w:t>a</w:t>
      </w:r>
      <w:r w:rsidRPr="003366DD">
        <w:rPr>
          <w:lang w:val="es-ES"/>
        </w:rPr>
        <w:t xml:space="preserve"> </w:t>
      </w:r>
    </w:p>
    <w:p w14:paraId="7EC47897" w14:textId="77777777" w:rsidR="003366DD" w:rsidRDefault="003366DD" w:rsidP="00E0716D">
      <w:pPr>
        <w:jc w:val="center"/>
        <w:rPr>
          <w:lang w:val="es-ES"/>
        </w:rPr>
      </w:pPr>
    </w:p>
    <w:p w14:paraId="460A668A" w14:textId="3AC78152" w:rsidR="00325004" w:rsidRPr="00A86EB9" w:rsidRDefault="00EA78BC" w:rsidP="00E0716D">
      <w:pPr>
        <w:jc w:val="center"/>
        <w:rPr>
          <w:i/>
        </w:rPr>
      </w:pPr>
      <w:proofErr w:type="gramStart"/>
      <w:r w:rsidRPr="00EA78BC">
        <w:rPr>
          <w:vertAlign w:val="superscript"/>
        </w:rPr>
        <w:t>a</w:t>
      </w:r>
      <w:proofErr w:type="gramEnd"/>
      <w:r w:rsidRPr="00EA78BC">
        <w:rPr>
          <w:vertAlign w:val="superscript"/>
        </w:rPr>
        <w:t xml:space="preserve"> </w:t>
      </w:r>
      <w:r>
        <w:rPr>
          <w:i/>
        </w:rPr>
        <w:t>Institute of Materials and Nanotechnology, Department of Chemistry, University of La Laguna, PO 456, 38206, San Cristóbal de La Laguna, Spain</w:t>
      </w:r>
    </w:p>
    <w:p w14:paraId="3439EFD9" w14:textId="77777777" w:rsidR="003366DD" w:rsidRDefault="00EA78BC" w:rsidP="00EA78BC">
      <w:pPr>
        <w:jc w:val="center"/>
        <w:rPr>
          <w:i/>
          <w:iCs/>
          <w:lang w:val="en-GB"/>
        </w:rPr>
      </w:pPr>
      <w:r w:rsidRPr="00EA78BC">
        <w:rPr>
          <w:i/>
          <w:iCs/>
          <w:vertAlign w:val="superscript"/>
          <w:lang w:val="en-GB"/>
        </w:rPr>
        <w:t>b</w:t>
      </w:r>
      <w:r w:rsidRPr="00EA78BC">
        <w:rPr>
          <w:i/>
          <w:iCs/>
          <w:lang w:val="en-GB"/>
        </w:rPr>
        <w:t xml:space="preserve"> Department of </w:t>
      </w:r>
      <w:r w:rsidR="003366DD">
        <w:rPr>
          <w:i/>
          <w:iCs/>
          <w:lang w:val="en-GB"/>
        </w:rPr>
        <w:t xml:space="preserve">Physical Chemistry, University of Innsbruck, </w:t>
      </w:r>
      <w:proofErr w:type="spellStart"/>
      <w:r w:rsidR="003366DD">
        <w:rPr>
          <w:i/>
          <w:iCs/>
          <w:lang w:val="en-GB"/>
        </w:rPr>
        <w:t>Innrain</w:t>
      </w:r>
      <w:proofErr w:type="spellEnd"/>
      <w:r w:rsidR="003366DD">
        <w:rPr>
          <w:i/>
          <w:iCs/>
          <w:lang w:val="en-GB"/>
        </w:rPr>
        <w:t xml:space="preserve"> 52c, Innsbruck, Austria </w:t>
      </w:r>
    </w:p>
    <w:p w14:paraId="15D19A19" w14:textId="3A200107" w:rsidR="00EA78BC" w:rsidRPr="00EA78BC" w:rsidRDefault="003366DD" w:rsidP="00EA78BC">
      <w:pPr>
        <w:jc w:val="center"/>
        <w:rPr>
          <w:i/>
          <w:iCs/>
          <w:lang w:val="en-GB"/>
        </w:rPr>
      </w:pPr>
      <w:r w:rsidRPr="003366DD">
        <w:rPr>
          <w:i/>
          <w:iCs/>
          <w:vertAlign w:val="superscript"/>
          <w:lang w:val="en-GB"/>
        </w:rPr>
        <w:t>c</w:t>
      </w:r>
      <w:r>
        <w:rPr>
          <w:i/>
          <w:iCs/>
          <w:lang w:val="en-GB"/>
        </w:rPr>
        <w:t xml:space="preserve"> Institute of Electrochemistry, University of Alicante, Alicante E-03080, Spain </w:t>
      </w:r>
    </w:p>
    <w:p w14:paraId="368BDB80" w14:textId="53A08CAE" w:rsidR="00685C1A" w:rsidRPr="00685C1A" w:rsidRDefault="003366DD" w:rsidP="00E0716D">
      <w:pPr>
        <w:jc w:val="center"/>
        <w:rPr>
          <w:i/>
        </w:rPr>
      </w:pPr>
      <w:r>
        <w:rPr>
          <w:i/>
        </w:rPr>
        <w:t>epastor</w:t>
      </w:r>
      <w:r w:rsidR="00EA78BC">
        <w:rPr>
          <w:i/>
        </w:rPr>
        <w:t>@ull.edu.es</w:t>
      </w:r>
    </w:p>
    <w:p w14:paraId="2E7089EE" w14:textId="77777777" w:rsidR="00325004" w:rsidRDefault="00325004" w:rsidP="00E0716D">
      <w:pPr>
        <w:jc w:val="center"/>
      </w:pPr>
    </w:p>
    <w:p w14:paraId="7A94EAE7" w14:textId="5342D33B" w:rsidR="00D17E75" w:rsidRDefault="00D17E75" w:rsidP="00D17E75">
      <w:pPr>
        <w:jc w:val="both"/>
      </w:pPr>
      <w:r>
        <w:t>Carbon-based energy sources - such as coal, oil, and natural gas - have led to a substantial increase in CO</w:t>
      </w:r>
      <w:r w:rsidRPr="00D17E75">
        <w:rPr>
          <w:vertAlign w:val="subscript"/>
        </w:rPr>
        <w:t>2</w:t>
      </w:r>
      <w:r>
        <w:t xml:space="preserve"> emissions, contributing significantly to climate change and environmental pollution. To mitigate these impacts, transitioning to sustainable energy carriers</w:t>
      </w:r>
      <w:r w:rsidR="000A0F8D">
        <w:t xml:space="preserve"> </w:t>
      </w:r>
      <w:r>
        <w:t xml:space="preserve">like hydrogen is essential. However, hydrogen storage typically requires high-pressure conditions, </w:t>
      </w:r>
      <w:r w:rsidR="000A0F8D">
        <w:t xml:space="preserve">posing logistics challenges and increasing </w:t>
      </w:r>
      <w:r>
        <w:t xml:space="preserve">operational costs. </w:t>
      </w:r>
      <w:r w:rsidR="000A0F8D">
        <w:t>In this context, a</w:t>
      </w:r>
      <w:r>
        <w:t xml:space="preserve">mmonia has emerged as a promising alternative hydrogen carrier due to its well-established infrastructure for storage and transport. </w:t>
      </w:r>
      <w:r w:rsidR="000A0F8D">
        <w:t xml:space="preserve">Furthermore, </w:t>
      </w:r>
      <w:r>
        <w:t>ammonia can be directly utilized in fuel cells, generat</w:t>
      </w:r>
      <w:r w:rsidR="000A0F8D">
        <w:t xml:space="preserve">ing energy by coupling </w:t>
      </w:r>
      <w:r>
        <w:t>the ammonia oxidation</w:t>
      </w:r>
      <w:r w:rsidR="000A0F8D">
        <w:t xml:space="preserve"> reaction</w:t>
      </w:r>
      <w:r>
        <w:t xml:space="preserve"> (AOR) with the oxygen reduction reactions (ORR). Nevertheless, the AOR involves complex reaction kinetics, and current</w:t>
      </w:r>
      <w:r w:rsidR="000A0F8D">
        <w:t xml:space="preserve"> catalysts </w:t>
      </w:r>
      <w:r>
        <w:t xml:space="preserve">often suffer from limited stability and durability. </w:t>
      </w:r>
    </w:p>
    <w:p w14:paraId="3E04A97D" w14:textId="38A657E3" w:rsidR="00D17E75" w:rsidRDefault="00D17E75" w:rsidP="00D17E75">
      <w:pPr>
        <w:jc w:val="both"/>
      </w:pPr>
      <w:r>
        <w:t xml:space="preserve">To address these challenges, </w:t>
      </w:r>
      <w:proofErr w:type="spellStart"/>
      <w:r>
        <w:t>Cu₂O</w:t>
      </w:r>
      <w:proofErr w:type="spellEnd"/>
      <w:r>
        <w:t xml:space="preserve"> </w:t>
      </w:r>
      <w:proofErr w:type="spellStart"/>
      <w:r>
        <w:t>nanocubes</w:t>
      </w:r>
      <w:proofErr w:type="spellEnd"/>
      <w:r>
        <w:t xml:space="preserve"> were employed as templates to synthesize </w:t>
      </w:r>
      <w:proofErr w:type="gramStart"/>
      <w:r>
        <w:t>Ni(</w:t>
      </w:r>
      <w:proofErr w:type="gramEnd"/>
      <w:r>
        <w:t>OH)₂@Cu</w:t>
      </w:r>
      <w:r w:rsidRPr="000A0F8D">
        <w:rPr>
          <w:vertAlign w:val="subscript"/>
        </w:rPr>
        <w:t>2</w:t>
      </w:r>
      <w:r>
        <w:t>O hollow nanocages. The physicochemical characterization of the nanoparticles was carried out using X-ray diffraction (XRD), scanning electron microscopy (SEM) coupled with energy-dispersive X-ray spectroscopy (EDX), and X-ray photoelectron spectroscopy (XPS).</w:t>
      </w:r>
      <w:r w:rsidR="00C115AB">
        <w:t xml:space="preserve"> </w:t>
      </w:r>
    </w:p>
    <w:p w14:paraId="57C4E7F9" w14:textId="298AC064" w:rsidR="006B6AE5" w:rsidRDefault="00D17E75" w:rsidP="00D17E75">
      <w:pPr>
        <w:jc w:val="both"/>
      </w:pPr>
      <w:r>
        <w:t xml:space="preserve">The synthesized nanocages exhibited high catalytic activity toward the AOR, along with </w:t>
      </w:r>
      <w:r w:rsidR="00C115AB">
        <w:t>excellent</w:t>
      </w:r>
      <w:r>
        <w:t xml:space="preserve"> stability during long-term electrochemical measurements. </w:t>
      </w:r>
      <w:r w:rsidR="00836B4B">
        <w:t>D</w:t>
      </w:r>
      <w:r w:rsidR="00836B4B" w:rsidRPr="00836B4B">
        <w:t xml:space="preserve">ifferential electrochemical mass spectrometry (DEMS) was employed to monitor the volatile species generated </w:t>
      </w:r>
      <w:r w:rsidR="00836B4B">
        <w:t xml:space="preserve">during </w:t>
      </w:r>
      <w:r w:rsidR="00836B4B" w:rsidRPr="00836B4B">
        <w:t>the AOR.</w:t>
      </w:r>
      <w:r w:rsidR="00836B4B">
        <w:t xml:space="preserve"> </w:t>
      </w:r>
      <w:r>
        <w:t>Notably, the nano</w:t>
      </w:r>
      <w:r w:rsidR="00C115AB">
        <w:t xml:space="preserve">cages </w:t>
      </w:r>
      <w:r>
        <w:t xml:space="preserve">preserved their </w:t>
      </w:r>
      <w:r w:rsidR="00C115AB">
        <w:t xml:space="preserve">original </w:t>
      </w:r>
      <w:r>
        <w:t>morphology throughout the electrochemical experiments. The combination of structural integrity and enhanced catalytic performance highlights the potential of these nanocages as durable and efficient electrode materials for direct ammonia fuel cells.</w:t>
      </w:r>
    </w:p>
    <w:p w14:paraId="2E5B3306" w14:textId="77777777" w:rsidR="00C115AB" w:rsidRDefault="00C115AB" w:rsidP="00D17E75">
      <w:pPr>
        <w:jc w:val="both"/>
      </w:pPr>
    </w:p>
    <w:p w14:paraId="6245F67F" w14:textId="126CA131" w:rsidR="00C115AB" w:rsidRDefault="0073359F" w:rsidP="00C115AB">
      <w:pPr>
        <w:jc w:val="center"/>
      </w:pPr>
      <w:r w:rsidRPr="0073359F">
        <w:rPr>
          <w:noProof/>
          <w:snapToGrid/>
        </w:rPr>
        <w:drawing>
          <wp:inline distT="0" distB="0" distL="0" distR="0" wp14:anchorId="6C7085BA" wp14:editId="336DD2A9">
            <wp:extent cx="4410075" cy="2488542"/>
            <wp:effectExtent l="0" t="0" r="0" b="7620"/>
            <wp:docPr id="20507586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58691" name=""/>
                    <pic:cNvPicPr/>
                  </pic:nvPicPr>
                  <pic:blipFill>
                    <a:blip r:embed="rId5"/>
                    <a:stretch>
                      <a:fillRect/>
                    </a:stretch>
                  </pic:blipFill>
                  <pic:spPr>
                    <a:xfrm>
                      <a:off x="0" y="0"/>
                      <a:ext cx="4416407" cy="2492115"/>
                    </a:xfrm>
                    <a:prstGeom prst="rect">
                      <a:avLst/>
                    </a:prstGeom>
                  </pic:spPr>
                </pic:pic>
              </a:graphicData>
            </a:graphic>
          </wp:inline>
        </w:drawing>
      </w:r>
      <w:r w:rsidRPr="0073359F">
        <w:rPr>
          <w:noProof/>
          <w:snapToGrid/>
        </w:rPr>
        <w:t xml:space="preserve"> </w:t>
      </w:r>
    </w:p>
    <w:p w14:paraId="29849F4C" w14:textId="77777777" w:rsidR="00C115AB" w:rsidRDefault="00C115AB" w:rsidP="00C115AB">
      <w:pPr>
        <w:jc w:val="center"/>
      </w:pPr>
    </w:p>
    <w:p w14:paraId="3FF3E651" w14:textId="60995628" w:rsidR="00C115AB" w:rsidRDefault="000C37AE" w:rsidP="000C37AE">
      <w:pPr>
        <w:jc w:val="center"/>
      </w:pPr>
      <w:r w:rsidRPr="000C37AE">
        <w:rPr>
          <w:b/>
          <w:bCs/>
        </w:rPr>
        <w:t>Figure 1.</w:t>
      </w:r>
      <w:r>
        <w:t xml:space="preserve"> Synthesis of </w:t>
      </w:r>
      <w:proofErr w:type="gramStart"/>
      <w:r>
        <w:t>Ni(</w:t>
      </w:r>
      <w:proofErr w:type="gramEnd"/>
      <w:r>
        <w:t>OH)₂@Cu</w:t>
      </w:r>
      <w:r w:rsidRPr="000A0F8D">
        <w:rPr>
          <w:vertAlign w:val="subscript"/>
        </w:rPr>
        <w:t>2</w:t>
      </w:r>
      <w:r>
        <w:t>O</w:t>
      </w:r>
    </w:p>
    <w:p w14:paraId="0AEC7708" w14:textId="258FFB92" w:rsidR="00C115AB" w:rsidRPr="006B6AE5" w:rsidRDefault="00C115AB" w:rsidP="00D17E75">
      <w:pPr>
        <w:jc w:val="both"/>
      </w:pPr>
    </w:p>
    <w:p w14:paraId="2C90BEE0" w14:textId="77777777" w:rsidR="00836B4B" w:rsidRDefault="00836B4B" w:rsidP="00BA6F5F">
      <w:pPr>
        <w:rPr>
          <w:b/>
          <w:bCs/>
          <w:sz w:val="18"/>
          <w:szCs w:val="18"/>
        </w:rPr>
      </w:pPr>
    </w:p>
    <w:p w14:paraId="2C2D4E80" w14:textId="30CFBCF5" w:rsidR="00BA6F5F" w:rsidRPr="00836B4B" w:rsidRDefault="00BA6F5F" w:rsidP="00BA6F5F">
      <w:pPr>
        <w:rPr>
          <w:b/>
          <w:bCs/>
          <w:sz w:val="18"/>
          <w:szCs w:val="18"/>
        </w:rPr>
      </w:pPr>
      <w:r w:rsidRPr="00836B4B">
        <w:rPr>
          <w:b/>
          <w:bCs/>
          <w:sz w:val="18"/>
          <w:szCs w:val="18"/>
        </w:rPr>
        <w:t>Acknowledgement</w:t>
      </w:r>
    </w:p>
    <w:p w14:paraId="3D118BAC" w14:textId="77777777" w:rsidR="00836B4B" w:rsidRPr="00836B4B" w:rsidRDefault="00836B4B" w:rsidP="00836B4B">
      <w:pPr>
        <w:jc w:val="both"/>
        <w:rPr>
          <w:sz w:val="18"/>
          <w:szCs w:val="18"/>
          <w:lang w:val="en-GB"/>
        </w:rPr>
      </w:pPr>
      <w:r w:rsidRPr="00836B4B">
        <w:rPr>
          <w:sz w:val="18"/>
          <w:szCs w:val="18"/>
        </w:rPr>
        <w:t xml:space="preserve">This work was supported by project PID2023-1507070B-100 </w:t>
      </w:r>
      <w:r w:rsidRPr="00836B4B">
        <w:rPr>
          <w:sz w:val="18"/>
          <w:szCs w:val="18"/>
          <w:lang w:val="en-GB"/>
        </w:rPr>
        <w:t xml:space="preserve">funded by MCIN/AEI/10.13039/501100011033 and the Cabildo de Tenerife-TALENTUM program, exp. 2024/0002355. </w:t>
      </w:r>
      <w:r w:rsidRPr="00836B4B">
        <w:rPr>
          <w:sz w:val="18"/>
          <w:szCs w:val="18"/>
          <w:lang w:val="es-ES"/>
        </w:rPr>
        <w:t xml:space="preserve">A. C. C. S. </w:t>
      </w:r>
      <w:proofErr w:type="spellStart"/>
      <w:r w:rsidRPr="00836B4B">
        <w:rPr>
          <w:sz w:val="18"/>
          <w:szCs w:val="18"/>
          <w:lang w:val="es-ES"/>
        </w:rPr>
        <w:t>acknowledges</w:t>
      </w:r>
      <w:proofErr w:type="spellEnd"/>
      <w:r w:rsidRPr="00836B4B">
        <w:rPr>
          <w:sz w:val="18"/>
          <w:szCs w:val="18"/>
          <w:lang w:val="es-ES"/>
        </w:rPr>
        <w:t xml:space="preserve"> ACIISI (Agencia Canaria de Investigación, Innovación y Sociedad de la Información, Consejería de Universidades, Ciencia e Innovación y Cultura) and </w:t>
      </w:r>
      <w:proofErr w:type="spellStart"/>
      <w:r w:rsidRPr="00836B4B">
        <w:rPr>
          <w:sz w:val="18"/>
          <w:szCs w:val="18"/>
          <w:lang w:val="es-ES"/>
        </w:rPr>
        <w:t>the</w:t>
      </w:r>
      <w:proofErr w:type="spellEnd"/>
      <w:r w:rsidRPr="00836B4B">
        <w:rPr>
          <w:sz w:val="18"/>
          <w:szCs w:val="18"/>
          <w:lang w:val="es-ES"/>
        </w:rPr>
        <w:t xml:space="preserve"> </w:t>
      </w:r>
      <w:proofErr w:type="spellStart"/>
      <w:r w:rsidRPr="00836B4B">
        <w:rPr>
          <w:sz w:val="18"/>
          <w:szCs w:val="18"/>
          <w:lang w:val="es-ES"/>
        </w:rPr>
        <w:t>European</w:t>
      </w:r>
      <w:proofErr w:type="spellEnd"/>
      <w:r w:rsidRPr="00836B4B">
        <w:rPr>
          <w:sz w:val="18"/>
          <w:szCs w:val="18"/>
          <w:lang w:val="es-ES"/>
        </w:rPr>
        <w:t xml:space="preserve"> Social Fund Plus (ESF+) (Operative </w:t>
      </w:r>
      <w:proofErr w:type="spellStart"/>
      <w:r w:rsidRPr="00836B4B">
        <w:rPr>
          <w:sz w:val="18"/>
          <w:szCs w:val="18"/>
          <w:lang w:val="es-ES"/>
        </w:rPr>
        <w:t>Integrated</w:t>
      </w:r>
      <w:proofErr w:type="spellEnd"/>
      <w:r w:rsidRPr="00836B4B">
        <w:rPr>
          <w:sz w:val="18"/>
          <w:szCs w:val="18"/>
          <w:lang w:val="es-ES"/>
        </w:rPr>
        <w:t xml:space="preserve"> </w:t>
      </w:r>
      <w:proofErr w:type="spellStart"/>
      <w:r w:rsidRPr="00836B4B">
        <w:rPr>
          <w:sz w:val="18"/>
          <w:szCs w:val="18"/>
          <w:lang w:val="es-ES"/>
        </w:rPr>
        <w:t>Program</w:t>
      </w:r>
      <w:proofErr w:type="spellEnd"/>
      <w:r w:rsidRPr="00836B4B">
        <w:rPr>
          <w:sz w:val="18"/>
          <w:szCs w:val="18"/>
          <w:lang w:val="es-ES"/>
        </w:rPr>
        <w:t xml:space="preserve"> </w:t>
      </w:r>
      <w:proofErr w:type="spellStart"/>
      <w:r w:rsidRPr="00836B4B">
        <w:rPr>
          <w:sz w:val="18"/>
          <w:szCs w:val="18"/>
          <w:lang w:val="es-ES"/>
        </w:rPr>
        <w:t>of</w:t>
      </w:r>
      <w:proofErr w:type="spellEnd"/>
      <w:r w:rsidRPr="00836B4B">
        <w:rPr>
          <w:sz w:val="18"/>
          <w:szCs w:val="18"/>
          <w:lang w:val="es-ES"/>
        </w:rPr>
        <w:t xml:space="preserve"> Canary </w:t>
      </w:r>
      <w:proofErr w:type="spellStart"/>
      <w:r w:rsidRPr="00836B4B">
        <w:rPr>
          <w:sz w:val="18"/>
          <w:szCs w:val="18"/>
          <w:lang w:val="es-ES"/>
        </w:rPr>
        <w:t>Islands</w:t>
      </w:r>
      <w:proofErr w:type="spellEnd"/>
      <w:r w:rsidRPr="00836B4B">
        <w:rPr>
          <w:sz w:val="18"/>
          <w:szCs w:val="18"/>
          <w:lang w:val="es-ES"/>
        </w:rPr>
        <w:t xml:space="preserve"> 2021–2027, Area 3 </w:t>
      </w:r>
      <w:proofErr w:type="spellStart"/>
      <w:r w:rsidRPr="00836B4B">
        <w:rPr>
          <w:sz w:val="18"/>
          <w:szCs w:val="18"/>
          <w:lang w:val="es-ES"/>
        </w:rPr>
        <w:t>Priority</w:t>
      </w:r>
      <w:proofErr w:type="spellEnd"/>
      <w:r w:rsidRPr="00836B4B">
        <w:rPr>
          <w:sz w:val="18"/>
          <w:szCs w:val="18"/>
          <w:lang w:val="es-ES"/>
        </w:rPr>
        <w:t xml:space="preserve"> </w:t>
      </w:r>
      <w:proofErr w:type="spellStart"/>
      <w:r w:rsidRPr="00836B4B">
        <w:rPr>
          <w:sz w:val="18"/>
          <w:szCs w:val="18"/>
          <w:lang w:val="es-ES"/>
        </w:rPr>
        <w:t>Theme</w:t>
      </w:r>
      <w:proofErr w:type="spellEnd"/>
      <w:r w:rsidRPr="00836B4B">
        <w:rPr>
          <w:sz w:val="18"/>
          <w:szCs w:val="18"/>
          <w:lang w:val="es-ES"/>
        </w:rPr>
        <w:t xml:space="preserve"> 74 (85%)) </w:t>
      </w:r>
      <w:proofErr w:type="spellStart"/>
      <w:r w:rsidRPr="00836B4B">
        <w:rPr>
          <w:sz w:val="18"/>
          <w:szCs w:val="18"/>
          <w:lang w:val="es-ES"/>
        </w:rPr>
        <w:t>for</w:t>
      </w:r>
      <w:proofErr w:type="spellEnd"/>
      <w:r w:rsidRPr="00836B4B">
        <w:rPr>
          <w:sz w:val="18"/>
          <w:szCs w:val="18"/>
          <w:lang w:val="es-ES"/>
        </w:rPr>
        <w:t xml:space="preserve"> </w:t>
      </w:r>
      <w:proofErr w:type="spellStart"/>
      <w:r w:rsidRPr="00836B4B">
        <w:rPr>
          <w:sz w:val="18"/>
          <w:szCs w:val="18"/>
          <w:lang w:val="es-ES"/>
        </w:rPr>
        <w:t>the</w:t>
      </w:r>
      <w:proofErr w:type="spellEnd"/>
      <w:r w:rsidRPr="00836B4B">
        <w:rPr>
          <w:sz w:val="18"/>
          <w:szCs w:val="18"/>
          <w:lang w:val="es-ES"/>
        </w:rPr>
        <w:t xml:space="preserve"> predoctoral </w:t>
      </w:r>
      <w:proofErr w:type="spellStart"/>
      <w:r w:rsidRPr="00836B4B">
        <w:rPr>
          <w:sz w:val="18"/>
          <w:szCs w:val="18"/>
          <w:lang w:val="es-ES"/>
        </w:rPr>
        <w:t>contract</w:t>
      </w:r>
      <w:proofErr w:type="spellEnd"/>
      <w:r w:rsidRPr="00836B4B">
        <w:rPr>
          <w:sz w:val="18"/>
          <w:szCs w:val="18"/>
          <w:lang w:val="es-ES"/>
        </w:rPr>
        <w:t xml:space="preserve"> FPI2024010100.</w:t>
      </w:r>
      <w:r w:rsidRPr="00836B4B">
        <w:rPr>
          <w:lang w:val="es-ES"/>
        </w:rPr>
        <w:t xml:space="preserve"> </w:t>
      </w:r>
    </w:p>
    <w:p w14:paraId="7045620F" w14:textId="77777777" w:rsidR="00836B4B" w:rsidRDefault="00836B4B" w:rsidP="00836B4B">
      <w:pPr>
        <w:rPr>
          <w:b/>
          <w:sz w:val="18"/>
          <w:szCs w:val="18"/>
        </w:rPr>
      </w:pPr>
    </w:p>
    <w:sectPr w:rsidR="00836B4B"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BBB"/>
    <w:multiLevelType w:val="hybridMultilevel"/>
    <w:tmpl w:val="B02AEDF4"/>
    <w:lvl w:ilvl="0" w:tplc="FA66AEAC">
      <w:start w:val="1"/>
      <w:numFmt w:val="decimal"/>
      <w:lvlText w:val="(%1)"/>
      <w:lvlJc w:val="left"/>
      <w:pPr>
        <w:ind w:left="720" w:hanging="360"/>
      </w:pPr>
      <w:rPr>
        <w:color w:val="00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1328434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A0F8D"/>
    <w:rsid w:val="000C37AE"/>
    <w:rsid w:val="000D1486"/>
    <w:rsid w:val="00140F75"/>
    <w:rsid w:val="001C5700"/>
    <w:rsid w:val="00300E2F"/>
    <w:rsid w:val="00325004"/>
    <w:rsid w:val="003366DD"/>
    <w:rsid w:val="003C696A"/>
    <w:rsid w:val="003F5BDA"/>
    <w:rsid w:val="00471671"/>
    <w:rsid w:val="004B00BD"/>
    <w:rsid w:val="00536366"/>
    <w:rsid w:val="005A6DBB"/>
    <w:rsid w:val="00685C1A"/>
    <w:rsid w:val="006A2753"/>
    <w:rsid w:val="006B6AE5"/>
    <w:rsid w:val="00703CA1"/>
    <w:rsid w:val="0073359F"/>
    <w:rsid w:val="00766B0C"/>
    <w:rsid w:val="007E79D0"/>
    <w:rsid w:val="00836B4B"/>
    <w:rsid w:val="008E48B2"/>
    <w:rsid w:val="00902403"/>
    <w:rsid w:val="00A45E65"/>
    <w:rsid w:val="00AC516B"/>
    <w:rsid w:val="00AD113E"/>
    <w:rsid w:val="00B030D7"/>
    <w:rsid w:val="00BA6F5F"/>
    <w:rsid w:val="00C115AB"/>
    <w:rsid w:val="00C53965"/>
    <w:rsid w:val="00C96F84"/>
    <w:rsid w:val="00D17E75"/>
    <w:rsid w:val="00DD79D6"/>
    <w:rsid w:val="00DF7823"/>
    <w:rsid w:val="00E0716D"/>
    <w:rsid w:val="00EA78BC"/>
    <w:rsid w:val="00F97641"/>
    <w:rsid w:val="00FB46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5FF1AF"/>
  <w14:defaultImageDpi w14:val="300"/>
  <w15:docId w15:val="{DB60C578-9F8A-4CC6-824F-4EC3C322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BA6F5F"/>
    <w:pPr>
      <w:spacing w:after="200"/>
    </w:pPr>
    <w:rPr>
      <w:i/>
      <w:iCs/>
      <w:color w:val="1F497D" w:themeColor="text2"/>
      <w:sz w:val="18"/>
      <w:szCs w:val="18"/>
    </w:rPr>
  </w:style>
  <w:style w:type="paragraph" w:customStyle="1" w:styleId="BodyTextIndent1">
    <w:name w:val="Body Text Indent1"/>
    <w:basedOn w:val="Normal"/>
    <w:link w:val="BodyTextIndent1Car"/>
    <w:rsid w:val="00BA6F5F"/>
    <w:pPr>
      <w:widowControl/>
      <w:spacing w:after="120"/>
      <w:ind w:firstLine="567"/>
      <w:jc w:val="both"/>
    </w:pPr>
    <w:rPr>
      <w:snapToGrid/>
      <w:sz w:val="24"/>
      <w:szCs w:val="24"/>
      <w:lang w:val="en-GB" w:eastAsia="de-DE"/>
    </w:rPr>
  </w:style>
  <w:style w:type="character" w:customStyle="1" w:styleId="BodyTextIndent1Car">
    <w:name w:val="Body Text Indent1 Car"/>
    <w:link w:val="BodyTextIndent1"/>
    <w:rsid w:val="00BA6F5F"/>
    <w:rPr>
      <w:sz w:val="24"/>
      <w:szCs w:val="24"/>
      <w:lang w:val="en-GB" w:eastAsia="de-DE"/>
    </w:rPr>
  </w:style>
  <w:style w:type="paragraph" w:styleId="Prrafodelista">
    <w:name w:val="List Paragraph"/>
    <w:basedOn w:val="Normal"/>
    <w:uiPriority w:val="34"/>
    <w:qFormat/>
    <w:rsid w:val="008E48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445</Words>
  <Characters>2452</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Elena María Pastor Tejera</cp:lastModifiedBy>
  <cp:revision>4</cp:revision>
  <cp:lastPrinted>2013-10-21T12:07:00Z</cp:lastPrinted>
  <dcterms:created xsi:type="dcterms:W3CDTF">2026-05-31T22:10:00Z</dcterms:created>
  <dcterms:modified xsi:type="dcterms:W3CDTF">2026-06-01T15:28:00Z</dcterms:modified>
</cp:coreProperties>
</file>