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DD6D" w14:textId="77777777" w:rsidR="000176B7" w:rsidRDefault="000176B7" w:rsidP="00E0716D">
      <w:pPr>
        <w:jc w:val="center"/>
        <w:rPr>
          <w:b/>
          <w:sz w:val="28"/>
        </w:rPr>
      </w:pPr>
      <w:r w:rsidRPr="000176B7">
        <w:rPr>
          <w:b/>
          <w:sz w:val="28"/>
        </w:rPr>
        <w:t>Exploring Electrochemical Interfaces for Codeine Analysis</w:t>
      </w:r>
    </w:p>
    <w:p w14:paraId="2EEA75B8" w14:textId="4632761C" w:rsidR="00325004" w:rsidRPr="008473E6" w:rsidRDefault="008473E6" w:rsidP="00E0716D">
      <w:pPr>
        <w:jc w:val="center"/>
        <w:rPr>
          <w:lang w:val="pl-PL"/>
        </w:rPr>
      </w:pPr>
      <w:r w:rsidRPr="008473E6">
        <w:rPr>
          <w:u w:val="single"/>
          <w:lang w:val="pl-PL"/>
        </w:rPr>
        <w:t>Karolina Kwaczyński</w:t>
      </w:r>
      <w:r w:rsidRPr="008473E6">
        <w:rPr>
          <w:u w:val="single"/>
          <w:vertAlign w:val="superscript"/>
          <w:lang w:val="pl-PL"/>
        </w:rPr>
        <w:t>1</w:t>
      </w:r>
      <w:r w:rsidR="00325004" w:rsidRPr="008473E6">
        <w:rPr>
          <w:lang w:val="pl-PL"/>
        </w:rPr>
        <w:t xml:space="preserve">, </w:t>
      </w:r>
      <w:r w:rsidRPr="008473E6">
        <w:rPr>
          <w:lang w:val="pl-PL"/>
        </w:rPr>
        <w:t>Grzegorz K</w:t>
      </w:r>
      <w:r>
        <w:rPr>
          <w:lang w:val="pl-PL"/>
        </w:rPr>
        <w:t>owalski</w:t>
      </w:r>
      <w:r w:rsidRPr="008473E6">
        <w:rPr>
          <w:vertAlign w:val="superscript"/>
          <w:lang w:val="pl-PL"/>
        </w:rPr>
        <w:t>1</w:t>
      </w:r>
      <w:r>
        <w:rPr>
          <w:lang w:val="pl-PL"/>
        </w:rPr>
        <w:t>, Olga Szymaniec</w:t>
      </w:r>
      <w:r w:rsidRPr="008473E6">
        <w:rPr>
          <w:vertAlign w:val="superscript"/>
          <w:lang w:val="pl-PL"/>
        </w:rPr>
        <w:t>1</w:t>
      </w:r>
      <w:r>
        <w:rPr>
          <w:lang w:val="pl-PL"/>
        </w:rPr>
        <w:t>,</w:t>
      </w:r>
      <w:r w:rsidR="000176B7">
        <w:rPr>
          <w:lang w:val="pl-PL"/>
        </w:rPr>
        <w:t xml:space="preserve"> Aleksandra Mikołajczyk</w:t>
      </w:r>
      <w:r w:rsidR="000176B7" w:rsidRPr="000176B7">
        <w:rPr>
          <w:vertAlign w:val="superscript"/>
          <w:lang w:val="pl-PL"/>
        </w:rPr>
        <w:t>1</w:t>
      </w:r>
      <w:r w:rsidR="000176B7">
        <w:rPr>
          <w:lang w:val="pl-PL"/>
        </w:rPr>
        <w:t>, Bartłomiej Hurny</w:t>
      </w:r>
      <w:r w:rsidR="000176B7" w:rsidRPr="000176B7">
        <w:rPr>
          <w:vertAlign w:val="superscript"/>
          <w:lang w:val="pl-PL"/>
        </w:rPr>
        <w:t>1</w:t>
      </w:r>
      <w:r w:rsidR="000176B7">
        <w:rPr>
          <w:lang w:val="pl-PL"/>
        </w:rPr>
        <w:t>, Katarzyna Szwabińska</w:t>
      </w:r>
      <w:r w:rsidR="000176B7" w:rsidRPr="000176B7">
        <w:rPr>
          <w:vertAlign w:val="superscript"/>
          <w:lang w:val="pl-PL"/>
        </w:rPr>
        <w:t>1</w:t>
      </w:r>
      <w:r w:rsidR="000176B7">
        <w:rPr>
          <w:lang w:val="pl-PL"/>
        </w:rPr>
        <w:t>,</w:t>
      </w:r>
      <w:r>
        <w:rPr>
          <w:lang w:val="pl-PL"/>
        </w:rPr>
        <w:t xml:space="preserve"> </w:t>
      </w:r>
      <w:proofErr w:type="spellStart"/>
      <w:r w:rsidR="000176B7">
        <w:rPr>
          <w:lang w:val="pl-PL"/>
        </w:rPr>
        <w:t>Lukasz</w:t>
      </w:r>
      <w:proofErr w:type="spellEnd"/>
      <w:r w:rsidR="000176B7">
        <w:rPr>
          <w:lang w:val="pl-PL"/>
        </w:rPr>
        <w:t xml:space="preserve"> </w:t>
      </w:r>
      <w:r>
        <w:rPr>
          <w:lang w:val="pl-PL"/>
        </w:rPr>
        <w:t>Poltorak</w:t>
      </w:r>
      <w:r w:rsidR="000176B7" w:rsidRPr="000176B7">
        <w:rPr>
          <w:vertAlign w:val="superscript"/>
          <w:lang w:val="pl-PL"/>
        </w:rPr>
        <w:t>1</w:t>
      </w:r>
      <w:r>
        <w:rPr>
          <w:lang w:val="pl-PL"/>
        </w:rPr>
        <w:t xml:space="preserve"> </w:t>
      </w:r>
    </w:p>
    <w:p w14:paraId="73B2DC4C" w14:textId="1422AB73" w:rsidR="00325004" w:rsidRPr="008473E6" w:rsidRDefault="008473E6" w:rsidP="00E0716D">
      <w:pPr>
        <w:jc w:val="center"/>
        <w:rPr>
          <w:i/>
        </w:rPr>
      </w:pPr>
      <w:r w:rsidRPr="008473E6">
        <w:rPr>
          <w:i/>
          <w:vertAlign w:val="superscript"/>
        </w:rPr>
        <w:t>1</w:t>
      </w:r>
      <w:r w:rsidRPr="008473E6">
        <w:rPr>
          <w:i/>
        </w:rPr>
        <w:t>Department of Inorganic and Analytical Chemistry,</w:t>
      </w:r>
      <w:r w:rsidR="00D62DE8">
        <w:rPr>
          <w:i/>
        </w:rPr>
        <w:t xml:space="preserve"> Faculty of Chemistry,</w:t>
      </w:r>
      <w:r w:rsidRPr="008473E6">
        <w:rPr>
          <w:i/>
        </w:rPr>
        <w:t xml:space="preserve"> University of Lodz, Poland</w:t>
      </w:r>
    </w:p>
    <w:p w14:paraId="2FBA4240" w14:textId="4838F3AF" w:rsidR="00325004" w:rsidRPr="000176B7" w:rsidRDefault="008E5A6F" w:rsidP="00E0716D">
      <w:pPr>
        <w:jc w:val="center"/>
        <w:rPr>
          <w:i/>
          <w:iCs/>
        </w:rPr>
      </w:pPr>
      <w:r w:rsidRPr="000176B7">
        <w:rPr>
          <w:i/>
          <w:iCs/>
        </w:rPr>
        <w:t>Tamka 12, 91-403 Lodz, Poland</w:t>
      </w:r>
    </w:p>
    <w:p w14:paraId="178C67CC" w14:textId="6E5547E5" w:rsidR="00685C1A" w:rsidRPr="00D62DE8" w:rsidRDefault="008473E6" w:rsidP="00E0716D">
      <w:pPr>
        <w:jc w:val="center"/>
        <w:rPr>
          <w:i/>
        </w:rPr>
      </w:pPr>
      <w:r w:rsidRPr="00D62DE8">
        <w:rPr>
          <w:i/>
        </w:rPr>
        <w:t>karolina.kwaczynski@chemia.uni.lodz.pl</w:t>
      </w:r>
    </w:p>
    <w:p w14:paraId="0076A8B9" w14:textId="77777777" w:rsidR="00325004" w:rsidRPr="00D62DE8" w:rsidRDefault="00325004" w:rsidP="00E0716D">
      <w:pPr>
        <w:jc w:val="center"/>
      </w:pPr>
    </w:p>
    <w:p w14:paraId="1F65D585" w14:textId="77777777" w:rsidR="000176B7" w:rsidRPr="000176B7" w:rsidRDefault="000176B7" w:rsidP="000176B7">
      <w:pPr>
        <w:jc w:val="both"/>
      </w:pPr>
      <w:r w:rsidRPr="000176B7">
        <w:t>Codeine (COD, Fig. 1) is an opioid drug widely used for its antitussive and analgesic properties [1]. Due to its metabolism to morphine and its potential misuse, the development of simple, reliable and sensitive methods for its determination remains an important analytical challenge [2].</w:t>
      </w:r>
    </w:p>
    <w:p w14:paraId="20BD21F7" w14:textId="77777777" w:rsidR="000176B7" w:rsidRPr="000176B7" w:rsidRDefault="000176B7" w:rsidP="000176B7">
      <w:pPr>
        <w:jc w:val="both"/>
      </w:pPr>
      <w:r w:rsidRPr="000176B7">
        <w:t>In this work, three electrochemical approaches for codeine detection are presented and compared. The first platform is based on graphite–silicone electrodes fabricated using direct ink writing technology and modified with polycation/polyanion multilayers. The second approach utilizes carbon black–poly(lactic acid) electrodes modified in situ with boron-doped diamond particles. The third strategy employs electrochemistry at the electrified liquid–liquid interface, allowing investigation of codeine transfer across the water/1,2-dichloroethane interface.</w:t>
      </w:r>
    </w:p>
    <w:p w14:paraId="12CCC19F" w14:textId="77777777" w:rsidR="000176B7" w:rsidRDefault="000176B7" w:rsidP="000176B7">
      <w:pPr>
        <w:jc w:val="both"/>
      </w:pPr>
      <w:r w:rsidRPr="000176B7">
        <w:t>For each platform, analytical performance was evaluated by determining parameters such as sensitivity, linear range, limit of detection and limit of quantification. The obtained results were subsequently compared to assess the advantages and limitations of the proposed sensing systems. The study provides insight into the applicability of different electrochemical platforms for codeine determination and highlights their potential for analytical and forensic applications.</w:t>
      </w:r>
    </w:p>
    <w:p w14:paraId="308BB749" w14:textId="77777777" w:rsidR="000176B7" w:rsidRPr="000176B7" w:rsidRDefault="000176B7" w:rsidP="000176B7">
      <w:pPr>
        <w:jc w:val="both"/>
      </w:pPr>
    </w:p>
    <w:p w14:paraId="0FE4AD01" w14:textId="77777777" w:rsidR="000176B7" w:rsidRPr="00EE6EBC" w:rsidRDefault="000176B7" w:rsidP="000176B7">
      <w:pPr>
        <w:jc w:val="center"/>
        <w:rPr>
          <w:rFonts w:ascii="Calibri" w:eastAsia="Yu Mincho" w:hAnsi="Calibri" w:cs="Calibri"/>
          <w:color w:val="000000"/>
        </w:rPr>
      </w:pPr>
      <w:r>
        <w:rPr>
          <w:rFonts w:ascii="Calibri" w:hAnsi="Calibri" w:cs="Calibri"/>
          <w:noProof/>
        </w:rPr>
        <w:drawing>
          <wp:inline distT="0" distB="0" distL="0" distR="0" wp14:anchorId="3B271330" wp14:editId="04BF462D">
            <wp:extent cx="1704093" cy="1224164"/>
            <wp:effectExtent l="0" t="0" r="0" b="0"/>
            <wp:docPr id="6663304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0574" cy="1264738"/>
                    </a:xfrm>
                    <a:prstGeom prst="rect">
                      <a:avLst/>
                    </a:prstGeom>
                    <a:noFill/>
                    <a:ln>
                      <a:noFill/>
                    </a:ln>
                  </pic:spPr>
                </pic:pic>
              </a:graphicData>
            </a:graphic>
          </wp:inline>
        </w:drawing>
      </w:r>
    </w:p>
    <w:p w14:paraId="52CDC5B8" w14:textId="77777777" w:rsidR="000176B7" w:rsidRPr="000176B7" w:rsidRDefault="000176B7" w:rsidP="000176B7">
      <w:pPr>
        <w:spacing w:after="120"/>
        <w:jc w:val="center"/>
        <w:rPr>
          <w:rFonts w:eastAsia="Yu Mincho"/>
          <w:color w:val="000000"/>
          <w:sz w:val="22"/>
          <w:szCs w:val="22"/>
        </w:rPr>
      </w:pPr>
      <w:r w:rsidRPr="000176B7">
        <w:rPr>
          <w:rFonts w:eastAsia="Yu Mincho"/>
          <w:color w:val="000000"/>
          <w:sz w:val="22"/>
          <w:szCs w:val="22"/>
        </w:rPr>
        <w:t>Fig. 1: Chemical structure of COD.</w:t>
      </w:r>
    </w:p>
    <w:p w14:paraId="46EC294F" w14:textId="77777777" w:rsidR="000176B7" w:rsidRPr="000176B7" w:rsidRDefault="000176B7" w:rsidP="000176B7">
      <w:pPr>
        <w:jc w:val="both"/>
        <w:rPr>
          <w:lang w:val="en-GB"/>
        </w:rPr>
      </w:pPr>
    </w:p>
    <w:p w14:paraId="6CF99B61" w14:textId="77777777" w:rsidR="000176B7" w:rsidRPr="000176B7" w:rsidRDefault="000176B7" w:rsidP="000176B7">
      <w:pPr>
        <w:jc w:val="both"/>
        <w:rPr>
          <w:lang w:val="en-GB"/>
        </w:rPr>
      </w:pPr>
      <w:r w:rsidRPr="000176B7">
        <w:rPr>
          <w:lang w:val="en-GB"/>
        </w:rPr>
        <w:t>References</w:t>
      </w:r>
    </w:p>
    <w:p w14:paraId="3ECAD6B8" w14:textId="77777777" w:rsidR="000176B7" w:rsidRPr="000176B7" w:rsidRDefault="000176B7" w:rsidP="000176B7">
      <w:pPr>
        <w:jc w:val="both"/>
        <w:rPr>
          <w:lang w:val="en-GB"/>
        </w:rPr>
      </w:pPr>
      <w:r w:rsidRPr="000176B7">
        <w:rPr>
          <w:lang w:val="en-GB"/>
        </w:rPr>
        <w:t xml:space="preserve">[1] J.M.P.J Garrido, C. Delerue-Matos, F. Borges, T.R.A. Macedo, A.M. Oliveira-Brett, Electroanalysis, 2004, 17, 1427-1433. </w:t>
      </w:r>
    </w:p>
    <w:p w14:paraId="069C1BB3" w14:textId="77777777" w:rsidR="000176B7" w:rsidRPr="000176B7" w:rsidRDefault="000176B7" w:rsidP="000176B7">
      <w:pPr>
        <w:jc w:val="both"/>
        <w:rPr>
          <w:lang w:val="en-GB"/>
        </w:rPr>
      </w:pPr>
      <w:r w:rsidRPr="000176B7">
        <w:rPr>
          <w:lang w:val="en-GB"/>
        </w:rPr>
        <w:t xml:space="preserve">[2] R. Pratiwi, E. Noviana, R. </w:t>
      </w:r>
      <w:proofErr w:type="spellStart"/>
      <w:r w:rsidRPr="000176B7">
        <w:rPr>
          <w:lang w:val="en-GB"/>
        </w:rPr>
        <w:t>Fauziati</w:t>
      </w:r>
      <w:proofErr w:type="spellEnd"/>
      <w:r w:rsidRPr="000176B7">
        <w:rPr>
          <w:lang w:val="en-GB"/>
        </w:rPr>
        <w:t xml:space="preserve">, D.B. Carrao, F.A. Gandhi, M.A. Majid, F.A </w:t>
      </w:r>
      <w:proofErr w:type="spellStart"/>
      <w:r w:rsidRPr="000176B7">
        <w:rPr>
          <w:lang w:val="en-GB"/>
        </w:rPr>
        <w:t>Saputri</w:t>
      </w:r>
      <w:proofErr w:type="spellEnd"/>
      <w:r w:rsidRPr="000176B7">
        <w:rPr>
          <w:lang w:val="en-GB"/>
        </w:rPr>
        <w:t>, Molecules, 2021, 26, 800</w:t>
      </w:r>
    </w:p>
    <w:p w14:paraId="2DDF671D" w14:textId="77777777" w:rsidR="000176B7" w:rsidRPr="000176B7" w:rsidRDefault="000176B7" w:rsidP="000176B7">
      <w:pPr>
        <w:jc w:val="both"/>
        <w:rPr>
          <w:lang w:val="en-GB"/>
        </w:rPr>
      </w:pPr>
    </w:p>
    <w:p w14:paraId="6E838924" w14:textId="77777777" w:rsidR="000176B7" w:rsidRPr="000176B7" w:rsidRDefault="000176B7" w:rsidP="000176B7">
      <w:pPr>
        <w:jc w:val="both"/>
        <w:rPr>
          <w:lang w:val="en-GB"/>
        </w:rPr>
      </w:pPr>
      <w:r w:rsidRPr="000176B7">
        <w:rPr>
          <w:lang w:val="en-GB"/>
        </w:rPr>
        <w:t xml:space="preserve">Acknowledgments </w:t>
      </w:r>
    </w:p>
    <w:p w14:paraId="0DE3D5E6" w14:textId="47312077" w:rsidR="00E0716D" w:rsidRDefault="000176B7" w:rsidP="000176B7">
      <w:pPr>
        <w:jc w:val="both"/>
      </w:pPr>
      <w:r w:rsidRPr="000176B7">
        <w:rPr>
          <w:lang w:val="en-GB"/>
        </w:rPr>
        <w:t>The authors are grateful to National Science Centre in Krakow, Poland for financing this work: projects 2022/47/D/ST5/02523 and 2022/47/O/ST4/02557.</w:t>
      </w:r>
    </w:p>
    <w:p w14:paraId="11E6907A" w14:textId="77777777" w:rsidR="00325004" w:rsidRDefault="00325004" w:rsidP="00E0716D">
      <w:pPr>
        <w:jc w:val="both"/>
      </w:pPr>
    </w:p>
    <w:p w14:paraId="55415D41" w14:textId="77777777" w:rsidR="00325004" w:rsidRDefault="00325004" w:rsidP="00E0716D">
      <w:pPr>
        <w:jc w:val="both"/>
      </w:pPr>
    </w:p>
    <w:p w14:paraId="47A364A6"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176B7"/>
    <w:rsid w:val="00041EFD"/>
    <w:rsid w:val="00325004"/>
    <w:rsid w:val="00536366"/>
    <w:rsid w:val="00685C1A"/>
    <w:rsid w:val="006F7D00"/>
    <w:rsid w:val="008473E6"/>
    <w:rsid w:val="008E5A6F"/>
    <w:rsid w:val="00A00725"/>
    <w:rsid w:val="00C3120C"/>
    <w:rsid w:val="00C52F4A"/>
    <w:rsid w:val="00D62DE8"/>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33D610"/>
  <w14:defaultImageDpi w14:val="300"/>
  <w15:docId w15:val="{93BBD71B-978F-4A79-A38B-B4CFB96F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E5A6F"/>
    <w:rPr>
      <w:color w:val="0000FF" w:themeColor="hyperlink"/>
      <w:u w:val="single"/>
    </w:rPr>
  </w:style>
  <w:style w:type="character" w:styleId="Nierozpoznanawzmianka">
    <w:name w:val="Unresolved Mention"/>
    <w:basedOn w:val="Domylnaczcionkaakapitu"/>
    <w:uiPriority w:val="99"/>
    <w:semiHidden/>
    <w:unhideWhenUsed/>
    <w:rsid w:val="008E5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1848</Characters>
  <Application>Microsoft Office Word</Application>
  <DocSecurity>0</DocSecurity>
  <Lines>15</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Karolina Kwaczyński</cp:lastModifiedBy>
  <cp:revision>2</cp:revision>
  <cp:lastPrinted>2013-10-21T12:07:00Z</cp:lastPrinted>
  <dcterms:created xsi:type="dcterms:W3CDTF">2026-06-01T21:44:00Z</dcterms:created>
  <dcterms:modified xsi:type="dcterms:W3CDTF">2026-06-01T21:44:00Z</dcterms:modified>
</cp:coreProperties>
</file>