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E1A" w:rsidRPr="001F6E1A" w:rsidRDefault="001F6E1A" w:rsidP="001F6E1A">
      <w:pPr>
        <w:jc w:val="center"/>
        <w:rPr>
          <w:b/>
          <w:sz w:val="28"/>
          <w:lang w:val="en-GB"/>
        </w:rPr>
      </w:pPr>
      <w:r>
        <w:rPr>
          <w:b/>
          <w:bCs/>
          <w:sz w:val="28"/>
          <w:lang w:val="en-GB"/>
        </w:rPr>
        <w:t>Self-</w:t>
      </w:r>
      <w:r w:rsidRPr="001F6E1A">
        <w:rPr>
          <w:b/>
          <w:bCs/>
          <w:sz w:val="28"/>
          <w:lang w:val="en-GB"/>
        </w:rPr>
        <w:t xml:space="preserve">Activating High Entropy </w:t>
      </w:r>
      <w:proofErr w:type="spellStart"/>
      <w:r w:rsidRPr="001F6E1A">
        <w:rPr>
          <w:b/>
          <w:bCs/>
          <w:sz w:val="28"/>
          <w:lang w:val="en-GB"/>
        </w:rPr>
        <w:t>NiCoFeCrV</w:t>
      </w:r>
      <w:proofErr w:type="spellEnd"/>
      <w:r w:rsidRPr="001F6E1A">
        <w:rPr>
          <w:b/>
          <w:bCs/>
          <w:sz w:val="28"/>
          <w:lang w:val="en-GB"/>
        </w:rPr>
        <w:t xml:space="preserve">-LDH </w:t>
      </w:r>
      <w:proofErr w:type="spellStart"/>
      <w:r w:rsidRPr="001F6E1A">
        <w:rPr>
          <w:b/>
          <w:bCs/>
          <w:sz w:val="28"/>
          <w:lang w:val="en-GB"/>
        </w:rPr>
        <w:t>Electrocatalyst</w:t>
      </w:r>
      <w:proofErr w:type="spellEnd"/>
      <w:r w:rsidRPr="001F6E1A">
        <w:rPr>
          <w:b/>
          <w:bCs/>
          <w:sz w:val="28"/>
          <w:lang w:val="en-GB"/>
        </w:rPr>
        <w:t xml:space="preserve"> with Near Theoretical OER Kinetics via Controlled Surface Reconstruction </w:t>
      </w:r>
      <w:r w:rsidRPr="001F6E1A">
        <w:rPr>
          <w:b/>
          <w:sz w:val="28"/>
          <w:lang w:val="en-GB"/>
        </w:rPr>
        <w:t> </w:t>
      </w:r>
    </w:p>
    <w:p w:rsidR="00325004" w:rsidRPr="00A86EB9" w:rsidRDefault="00325004" w:rsidP="00E0716D">
      <w:pPr>
        <w:jc w:val="center"/>
        <w:rPr>
          <w:b/>
          <w:sz w:val="28"/>
        </w:rPr>
      </w:pPr>
    </w:p>
    <w:p w:rsidR="00325004" w:rsidRDefault="001F6E1A" w:rsidP="00E0716D">
      <w:pPr>
        <w:jc w:val="center"/>
      </w:pPr>
      <w:r>
        <w:rPr>
          <w:u w:val="single"/>
        </w:rPr>
        <w:t>Farah Mumtaz</w:t>
      </w:r>
      <w:r w:rsidR="00325004">
        <w:t xml:space="preserve">, </w:t>
      </w:r>
      <w:proofErr w:type="spellStart"/>
      <w:r w:rsidRPr="001F6E1A">
        <w:t>Aldona</w:t>
      </w:r>
      <w:proofErr w:type="spellEnd"/>
      <w:r w:rsidRPr="001F6E1A">
        <w:t xml:space="preserve"> </w:t>
      </w:r>
      <w:proofErr w:type="spellStart"/>
      <w:r w:rsidRPr="001F6E1A">
        <w:t>Balčiūnaitė</w:t>
      </w:r>
      <w:proofErr w:type="spellEnd"/>
      <w:r>
        <w:t xml:space="preserve">, </w:t>
      </w:r>
      <w:r w:rsidRPr="001F6E1A">
        <w:t>Tripura</w:t>
      </w:r>
      <w:r>
        <w:t xml:space="preserve"> </w:t>
      </w:r>
      <w:proofErr w:type="spellStart"/>
      <w:r>
        <w:t>Ganti</w:t>
      </w:r>
      <w:proofErr w:type="spellEnd"/>
      <w:r>
        <w:t xml:space="preserve">, </w:t>
      </w:r>
      <w:proofErr w:type="spellStart"/>
      <w:r w:rsidRPr="001F6E1A">
        <w:t>Giedrius</w:t>
      </w:r>
      <w:proofErr w:type="spellEnd"/>
      <w:r>
        <w:t xml:space="preserve"> </w:t>
      </w:r>
      <w:proofErr w:type="spellStart"/>
      <w:r w:rsidRPr="001F6E1A">
        <w:t>Stalnionis</w:t>
      </w:r>
      <w:proofErr w:type="spellEnd"/>
      <w:r>
        <w:t xml:space="preserve">, </w:t>
      </w:r>
      <w:proofErr w:type="spellStart"/>
      <w:r w:rsidRPr="001F6E1A">
        <w:t>Jūratė</w:t>
      </w:r>
      <w:proofErr w:type="spellEnd"/>
      <w:r>
        <w:t xml:space="preserve"> </w:t>
      </w:r>
      <w:proofErr w:type="spellStart"/>
      <w:r w:rsidRPr="001F6E1A">
        <w:t>Vaičiūnienė</w:t>
      </w:r>
      <w:proofErr w:type="spellEnd"/>
      <w:r>
        <w:t xml:space="preserve">, </w:t>
      </w:r>
      <w:proofErr w:type="spellStart"/>
      <w:proofErr w:type="gramStart"/>
      <w:r w:rsidRPr="001F6E1A">
        <w:t>Loreta</w:t>
      </w:r>
      <w:proofErr w:type="spellEnd"/>
      <w:r w:rsidRPr="001F6E1A">
        <w:t xml:space="preserve"> </w:t>
      </w:r>
      <w:r>
        <w:t xml:space="preserve"> </w:t>
      </w:r>
      <w:proofErr w:type="spellStart"/>
      <w:r w:rsidRPr="001F6E1A">
        <w:t>Tamašauskaitė</w:t>
      </w:r>
      <w:proofErr w:type="gramEnd"/>
      <w:r w:rsidRPr="001F6E1A">
        <w:t>-Tamašiūnaitė</w:t>
      </w:r>
      <w:proofErr w:type="spellEnd"/>
      <w:r>
        <w:t xml:space="preserve">, </w:t>
      </w:r>
      <w:proofErr w:type="spellStart"/>
      <w:r w:rsidRPr="001F6E1A">
        <w:t>Eugenijus</w:t>
      </w:r>
      <w:proofErr w:type="spellEnd"/>
      <w:r w:rsidRPr="001F6E1A">
        <w:t xml:space="preserve"> </w:t>
      </w:r>
      <w:proofErr w:type="spellStart"/>
      <w:r w:rsidRPr="001F6E1A">
        <w:t>Norkus</w:t>
      </w:r>
      <w:proofErr w:type="spellEnd"/>
      <w:r w:rsidRPr="001F6E1A">
        <w:t xml:space="preserve"> </w:t>
      </w:r>
    </w:p>
    <w:p w:rsidR="00325004" w:rsidRPr="00A86EB9" w:rsidRDefault="001F6E1A" w:rsidP="00E0716D">
      <w:pPr>
        <w:jc w:val="center"/>
        <w:rPr>
          <w:i/>
        </w:rPr>
      </w:pPr>
      <w:r>
        <w:rPr>
          <w:i/>
        </w:rPr>
        <w:t>Center for Physical Sciences and Technology (FTMC)</w:t>
      </w:r>
    </w:p>
    <w:p w:rsidR="00325004" w:rsidRPr="003B2474" w:rsidRDefault="001F6E1A" w:rsidP="003B2474">
      <w:pPr>
        <w:ind w:left="720"/>
        <w:jc w:val="center"/>
        <w:rPr>
          <w:i/>
          <w:lang w:val="en-GB"/>
        </w:rPr>
      </w:pPr>
      <w:proofErr w:type="spellStart"/>
      <w:r w:rsidRPr="001F6E1A">
        <w:rPr>
          <w:i/>
          <w:lang w:val="en-GB"/>
        </w:rPr>
        <w:t>Savanorių</w:t>
      </w:r>
      <w:proofErr w:type="spellEnd"/>
      <w:r w:rsidRPr="001F6E1A">
        <w:rPr>
          <w:i/>
          <w:lang w:val="en-GB"/>
        </w:rPr>
        <w:t xml:space="preserve"> </w:t>
      </w:r>
      <w:proofErr w:type="spellStart"/>
      <w:r w:rsidRPr="001F6E1A">
        <w:rPr>
          <w:i/>
          <w:lang w:val="en-GB"/>
        </w:rPr>
        <w:t>st.</w:t>
      </w:r>
      <w:proofErr w:type="spellEnd"/>
      <w:r w:rsidRPr="001F6E1A">
        <w:rPr>
          <w:i/>
          <w:lang w:val="en-GB"/>
        </w:rPr>
        <w:t xml:space="preserve"> 231, LT-02300 Vilnius</w:t>
      </w:r>
      <w:bookmarkStart w:id="0" w:name="_GoBack"/>
      <w:bookmarkEnd w:id="0"/>
    </w:p>
    <w:p w:rsidR="00685C1A" w:rsidRPr="00685C1A" w:rsidRDefault="001F6E1A" w:rsidP="00E0716D">
      <w:pPr>
        <w:jc w:val="center"/>
        <w:rPr>
          <w:i/>
        </w:rPr>
      </w:pPr>
      <w:r>
        <w:rPr>
          <w:i/>
        </w:rPr>
        <w:t>farah.mumtaz@ftmc.lt</w:t>
      </w:r>
    </w:p>
    <w:p w:rsidR="00325004" w:rsidRDefault="00325004" w:rsidP="00E0716D">
      <w:pPr>
        <w:jc w:val="center"/>
      </w:pPr>
    </w:p>
    <w:p w:rsidR="001F6E1A" w:rsidRPr="001F6E1A" w:rsidRDefault="001F6E1A" w:rsidP="001F6E1A">
      <w:pPr>
        <w:jc w:val="both"/>
        <w:rPr>
          <w:lang w:val="en-GB"/>
        </w:rPr>
      </w:pPr>
      <w:r w:rsidRPr="001F6E1A">
        <w:rPr>
          <w:lang w:val="en-GB"/>
        </w:rPr>
        <w:t xml:space="preserve">The development of robust </w:t>
      </w:r>
      <w:proofErr w:type="spellStart"/>
      <w:r w:rsidRPr="001F6E1A">
        <w:rPr>
          <w:lang w:val="en-GB"/>
        </w:rPr>
        <w:t>electrocatalysts</w:t>
      </w:r>
      <w:proofErr w:type="spellEnd"/>
      <w:r w:rsidRPr="001F6E1A">
        <w:rPr>
          <w:lang w:val="en-GB"/>
        </w:rPr>
        <w:t xml:space="preserve"> from earth abundant elements remains a central challenge for scalable green hydrogen production. High entropy materials (HEMs) have recently attracted considerable attention in catalysis because of structural defects and diverse active sites. Most high entropy catalysts reported so far are </w:t>
      </w:r>
      <w:proofErr w:type="spellStart"/>
      <w:r w:rsidRPr="001F6E1A">
        <w:rPr>
          <w:lang w:val="en-GB"/>
        </w:rPr>
        <w:t>equimolar</w:t>
      </w:r>
      <w:proofErr w:type="spellEnd"/>
      <w:r w:rsidRPr="001F6E1A">
        <w:rPr>
          <w:lang w:val="en-GB"/>
        </w:rPr>
        <w:t xml:space="preserve"> single phase systems, leaving hierarchical and non </w:t>
      </w:r>
      <w:proofErr w:type="spellStart"/>
      <w:r w:rsidRPr="001F6E1A">
        <w:rPr>
          <w:lang w:val="en-GB"/>
        </w:rPr>
        <w:t>equimolar</w:t>
      </w:r>
      <w:proofErr w:type="spellEnd"/>
      <w:r w:rsidRPr="001F6E1A">
        <w:rPr>
          <w:lang w:val="en-GB"/>
        </w:rPr>
        <w:t xml:space="preserve"> designs largely unexplored [1].</w:t>
      </w:r>
    </w:p>
    <w:p w:rsidR="001F6E1A" w:rsidRPr="001F6E1A" w:rsidRDefault="001F6E1A" w:rsidP="001F6E1A">
      <w:pPr>
        <w:jc w:val="both"/>
        <w:rPr>
          <w:lang w:val="en-GB"/>
        </w:rPr>
      </w:pPr>
      <w:r w:rsidRPr="001F6E1A">
        <w:rPr>
          <w:lang w:val="en-GB"/>
        </w:rPr>
        <w:t xml:space="preserve">The rational design of compositionally complex </w:t>
      </w:r>
      <w:proofErr w:type="spellStart"/>
      <w:r w:rsidRPr="001F6E1A">
        <w:rPr>
          <w:lang w:val="en-GB"/>
        </w:rPr>
        <w:t>electrocatalysts</w:t>
      </w:r>
      <w:proofErr w:type="spellEnd"/>
      <w:r w:rsidRPr="001F6E1A">
        <w:rPr>
          <w:lang w:val="en-GB"/>
        </w:rPr>
        <w:t xml:space="preserve"> offers a promising pathway toward overcoming the activity stability trade off in alkaline oxygen evolution reaction (OER). Herein, we report the direct growth of a multi metallic layered double hydroxide (LDH) architecture on Ni foam via self-limiting adsorption reaction. A five-component transition metal system with a tuned 3:1.5:1:1:0.5 cationic ratio was synthesized from a metal </w:t>
      </w:r>
      <w:proofErr w:type="spellStart"/>
      <w:r w:rsidRPr="001F6E1A">
        <w:rPr>
          <w:lang w:val="en-GB"/>
        </w:rPr>
        <w:t>sulfate</w:t>
      </w:r>
      <w:proofErr w:type="spellEnd"/>
      <w:r w:rsidRPr="001F6E1A">
        <w:rPr>
          <w:lang w:val="en-GB"/>
        </w:rPr>
        <w:t xml:space="preserve"> precursor bath in the presence of urea-assisted hydroxide generation. It enables the formation of a conformal ultrathin LDH network with enhanced interfacial integration. Moreover, electrochemical activation using slow sweep voltammetry at 1mV/s induces controlled surface reconstruction, converting the LDH layer into an </w:t>
      </w:r>
      <w:proofErr w:type="spellStart"/>
      <w:r w:rsidRPr="001F6E1A">
        <w:rPr>
          <w:lang w:val="en-GB"/>
        </w:rPr>
        <w:t>oxyhydroxide</w:t>
      </w:r>
      <w:proofErr w:type="spellEnd"/>
      <w:r w:rsidRPr="001F6E1A">
        <w:rPr>
          <w:lang w:val="en-GB"/>
        </w:rPr>
        <w:t xml:space="preserve"> catalytic interface [2,3].</w:t>
      </w:r>
    </w:p>
    <w:p w:rsidR="001F6E1A" w:rsidRPr="001F6E1A" w:rsidRDefault="001F6E1A" w:rsidP="001F6E1A">
      <w:pPr>
        <w:jc w:val="both"/>
        <w:rPr>
          <w:lang w:val="en-GB"/>
        </w:rPr>
      </w:pPr>
      <w:r w:rsidRPr="001F6E1A">
        <w:rPr>
          <w:lang w:val="en-GB"/>
        </w:rPr>
        <w:t>Unlike conventional post-reconstructed sulphide derived catalysts, the present approach achieves intrinsic structural stability through direct LDH formation while retaining compositional disorder and synergistic electronic interactions among multivalent metal centres. The incorporation of multiple transition metals induces local lattice distortion, modulates adsorption energetics, and promotes accelerated charge transfer kinetics during OER operation. Entropy-mediated stabilization suppresses elemental dissolution and structural degradation under prolonged alkaline electrolysis conditions.</w:t>
      </w:r>
    </w:p>
    <w:p w:rsidR="001F6E1A" w:rsidRDefault="001F6E1A" w:rsidP="001F6E1A">
      <w:pPr>
        <w:jc w:val="both"/>
        <w:rPr>
          <w:lang w:val="en-GB"/>
        </w:rPr>
      </w:pPr>
      <w:r w:rsidRPr="001F6E1A">
        <w:rPr>
          <w:lang w:val="en-GB"/>
        </w:rPr>
        <w:t>The resulting compositionally graded electrode delivers an over</w:t>
      </w:r>
      <w:r w:rsidR="00F25644">
        <w:rPr>
          <w:lang w:val="en-GB"/>
        </w:rPr>
        <w:t xml:space="preserve"> </w:t>
      </w:r>
      <w:r w:rsidRPr="001F6E1A">
        <w:rPr>
          <w:lang w:val="en-GB"/>
        </w:rPr>
        <w:t xml:space="preserve">potential of 201mV at 10mA cm⁻² vs RHE with a </w:t>
      </w:r>
      <w:proofErr w:type="spellStart"/>
      <w:r w:rsidRPr="001F6E1A">
        <w:rPr>
          <w:lang w:val="en-GB"/>
        </w:rPr>
        <w:t>Tafel</w:t>
      </w:r>
      <w:proofErr w:type="spellEnd"/>
      <w:r w:rsidRPr="001F6E1A">
        <w:rPr>
          <w:lang w:val="en-GB"/>
        </w:rPr>
        <w:t xml:space="preserve"> slope of 25mV dec⁻¹ and a maximum current density of 337mA cm⁻², demonstrating competitive OER activity among earth abundant high entropy </w:t>
      </w:r>
      <w:proofErr w:type="spellStart"/>
      <w:r w:rsidRPr="001F6E1A">
        <w:rPr>
          <w:lang w:val="en-GB"/>
        </w:rPr>
        <w:t>electrocatalysts</w:t>
      </w:r>
      <w:proofErr w:type="spellEnd"/>
      <w:r w:rsidRPr="001F6E1A">
        <w:rPr>
          <w:lang w:val="en-GB"/>
        </w:rPr>
        <w:t xml:space="preserve">. This work highlights the emerging potential of entropy engineered LDH </w:t>
      </w:r>
      <w:proofErr w:type="spellStart"/>
      <w:r w:rsidRPr="001F6E1A">
        <w:rPr>
          <w:lang w:val="en-GB"/>
        </w:rPr>
        <w:t>electrocatalysts</w:t>
      </w:r>
      <w:proofErr w:type="spellEnd"/>
      <w:r w:rsidRPr="001F6E1A">
        <w:rPr>
          <w:lang w:val="en-GB"/>
        </w:rPr>
        <w:t xml:space="preserve"> as a scalable platform for efficient and durable alkaline water oxidation. </w:t>
      </w:r>
    </w:p>
    <w:p w:rsidR="001F6E1A" w:rsidRDefault="001F6E1A" w:rsidP="001F6E1A">
      <w:pPr>
        <w:jc w:val="both"/>
        <w:rPr>
          <w:lang w:val="en-GB"/>
        </w:rPr>
      </w:pPr>
    </w:p>
    <w:p w:rsidR="001F6E1A" w:rsidRPr="001F6E1A" w:rsidRDefault="001F6E1A" w:rsidP="001F6E1A">
      <w:pPr>
        <w:jc w:val="both"/>
        <w:rPr>
          <w:lang w:val="en-GB"/>
        </w:rPr>
      </w:pPr>
      <w:r w:rsidRPr="001F6E1A">
        <w:rPr>
          <w:b/>
          <w:bCs/>
          <w:iCs/>
          <w:lang w:val="en-GB"/>
        </w:rPr>
        <w:t>Keywords:</w:t>
      </w:r>
      <w:r w:rsidRPr="001F6E1A">
        <w:rPr>
          <w:iCs/>
          <w:lang w:val="en-GB"/>
        </w:rPr>
        <w:t xml:space="preserve"> Earth abundant, entropy engineering, multi metallic </w:t>
      </w:r>
      <w:proofErr w:type="spellStart"/>
      <w:r w:rsidRPr="001F6E1A">
        <w:rPr>
          <w:iCs/>
          <w:lang w:val="en-GB"/>
        </w:rPr>
        <w:t>elctrocatalysts</w:t>
      </w:r>
      <w:proofErr w:type="spellEnd"/>
      <w:r w:rsidRPr="001F6E1A">
        <w:rPr>
          <w:iCs/>
          <w:lang w:val="en-GB"/>
        </w:rPr>
        <w:t>, layered double hydroxide (LDH), interface engineering.</w:t>
      </w:r>
      <w:r w:rsidRPr="001F6E1A">
        <w:rPr>
          <w:lang w:val="en-GB"/>
        </w:rPr>
        <w:t> </w:t>
      </w:r>
    </w:p>
    <w:p w:rsidR="001F6E1A" w:rsidRPr="001F6E1A" w:rsidRDefault="001F6E1A" w:rsidP="001F6E1A">
      <w:pPr>
        <w:jc w:val="both"/>
        <w:rPr>
          <w:lang w:val="en-GB"/>
        </w:rPr>
      </w:pPr>
      <w:r w:rsidRPr="001F6E1A">
        <w:rPr>
          <w:lang w:val="en-GB"/>
        </w:rPr>
        <w:t> </w:t>
      </w:r>
    </w:p>
    <w:p w:rsidR="001F6E1A" w:rsidRPr="001F6E1A" w:rsidRDefault="001F6E1A" w:rsidP="001F6E1A">
      <w:pPr>
        <w:jc w:val="both"/>
        <w:rPr>
          <w:lang w:val="en-GB"/>
        </w:rPr>
      </w:pPr>
      <w:r>
        <w:rPr>
          <w:b/>
          <w:bCs/>
          <w:iCs/>
          <w:lang w:val="en-GB"/>
        </w:rPr>
        <w:t>References</w:t>
      </w:r>
      <w:r w:rsidRPr="001F6E1A">
        <w:rPr>
          <w:b/>
          <w:bCs/>
          <w:iCs/>
          <w:lang w:val="en-GB"/>
        </w:rPr>
        <w:t>:</w:t>
      </w:r>
      <w:r w:rsidRPr="001F6E1A">
        <w:rPr>
          <w:lang w:val="en-GB"/>
        </w:rPr>
        <w:t> </w:t>
      </w:r>
    </w:p>
    <w:p w:rsidR="001F6E1A" w:rsidRPr="001F6E1A" w:rsidRDefault="001F6E1A" w:rsidP="001F6E1A">
      <w:pPr>
        <w:jc w:val="both"/>
        <w:rPr>
          <w:lang w:val="en-GB"/>
        </w:rPr>
      </w:pPr>
      <w:r w:rsidRPr="001F6E1A">
        <w:rPr>
          <w:lang w:val="en-GB"/>
        </w:rPr>
        <w:t>1.</w:t>
      </w:r>
      <w:r w:rsidRPr="001F6E1A">
        <w:rPr>
          <w:lang w:val="en-GB"/>
        </w:rPr>
        <w:tab/>
      </w:r>
      <w:proofErr w:type="spellStart"/>
      <w:r w:rsidRPr="001F6E1A">
        <w:rPr>
          <w:lang w:val="en-GB"/>
        </w:rPr>
        <w:t>Nemani</w:t>
      </w:r>
      <w:proofErr w:type="spellEnd"/>
      <w:r w:rsidRPr="001F6E1A">
        <w:rPr>
          <w:lang w:val="en-GB"/>
        </w:rPr>
        <w:t>, S.K., et al., Functional two-dimensional high-entropy materials. Communications Materials, 2023. 4(1).</w:t>
      </w:r>
    </w:p>
    <w:p w:rsidR="001F6E1A" w:rsidRPr="001F6E1A" w:rsidRDefault="001F6E1A" w:rsidP="001F6E1A">
      <w:pPr>
        <w:jc w:val="both"/>
        <w:rPr>
          <w:lang w:val="en-GB"/>
        </w:rPr>
      </w:pPr>
      <w:r w:rsidRPr="001F6E1A">
        <w:rPr>
          <w:lang w:val="en-GB"/>
        </w:rPr>
        <w:t>2.</w:t>
      </w:r>
      <w:r w:rsidRPr="001F6E1A">
        <w:rPr>
          <w:lang w:val="en-GB"/>
        </w:rPr>
        <w:tab/>
        <w:t xml:space="preserve">He, Z., et al., Activating lattice oxygen in </w:t>
      </w:r>
      <w:proofErr w:type="spellStart"/>
      <w:r w:rsidRPr="001F6E1A">
        <w:rPr>
          <w:lang w:val="en-GB"/>
        </w:rPr>
        <w:t>NiFe</w:t>
      </w:r>
      <w:proofErr w:type="spellEnd"/>
      <w:r w:rsidRPr="001F6E1A">
        <w:rPr>
          <w:lang w:val="en-GB"/>
        </w:rPr>
        <w:t xml:space="preserve">-based (oxy)hydroxide for water electrolysis. Nat </w:t>
      </w:r>
      <w:proofErr w:type="spellStart"/>
      <w:r w:rsidRPr="001F6E1A">
        <w:rPr>
          <w:lang w:val="en-GB"/>
        </w:rPr>
        <w:t>Commun</w:t>
      </w:r>
      <w:proofErr w:type="spellEnd"/>
      <w:r w:rsidRPr="001F6E1A">
        <w:rPr>
          <w:lang w:val="en-GB"/>
        </w:rPr>
        <w:t>, 2022. 13(1): p. 2191.</w:t>
      </w:r>
    </w:p>
    <w:p w:rsidR="001F6E1A" w:rsidRPr="001F6E1A" w:rsidRDefault="001F6E1A" w:rsidP="001F6E1A">
      <w:pPr>
        <w:jc w:val="both"/>
        <w:rPr>
          <w:lang w:val="en-GB"/>
        </w:rPr>
      </w:pPr>
      <w:r w:rsidRPr="001F6E1A">
        <w:rPr>
          <w:lang w:val="en-GB"/>
        </w:rPr>
        <w:t>3.</w:t>
      </w:r>
      <w:r w:rsidRPr="001F6E1A">
        <w:rPr>
          <w:lang w:val="en-GB"/>
        </w:rPr>
        <w:tab/>
        <w:t xml:space="preserve">Yu, L., et al., Non-noble metal-nitride based </w:t>
      </w:r>
      <w:proofErr w:type="spellStart"/>
      <w:r w:rsidRPr="001F6E1A">
        <w:rPr>
          <w:lang w:val="en-GB"/>
        </w:rPr>
        <w:t>electrocatalysts</w:t>
      </w:r>
      <w:proofErr w:type="spellEnd"/>
      <w:r w:rsidRPr="001F6E1A">
        <w:rPr>
          <w:lang w:val="en-GB"/>
        </w:rPr>
        <w:t xml:space="preserve"> for high-performance alkaline seawater electrolysis. Nat </w:t>
      </w:r>
      <w:proofErr w:type="spellStart"/>
      <w:r w:rsidRPr="001F6E1A">
        <w:rPr>
          <w:lang w:val="en-GB"/>
        </w:rPr>
        <w:t>Commun</w:t>
      </w:r>
      <w:proofErr w:type="spellEnd"/>
      <w:r w:rsidRPr="001F6E1A">
        <w:rPr>
          <w:lang w:val="en-GB"/>
        </w:rPr>
        <w:t>, 2019. 10(1): p. 5106.</w:t>
      </w:r>
    </w:p>
    <w:p w:rsidR="001F6E1A" w:rsidRPr="001F6E1A" w:rsidRDefault="001F6E1A" w:rsidP="001F6E1A">
      <w:pPr>
        <w:jc w:val="both"/>
        <w:rPr>
          <w:lang w:val="en-GB"/>
        </w:rPr>
      </w:pPr>
    </w:p>
    <w:p w:rsidR="00E0716D" w:rsidRDefault="00325004" w:rsidP="00E0716D">
      <w:pPr>
        <w:jc w:val="both"/>
      </w:pPr>
      <w:r>
        <w:t xml:space="preserve"> </w:t>
      </w:r>
    </w:p>
    <w:p w:rsidR="00325004" w:rsidRDefault="00325004" w:rsidP="00E0716D">
      <w:pPr>
        <w:jc w:val="both"/>
      </w:pPr>
    </w:p>
    <w:p w:rsidR="00325004" w:rsidRDefault="00325004" w:rsidP="00E0716D">
      <w:pPr>
        <w:jc w:val="both"/>
      </w:pPr>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400953"/>
    <w:multiLevelType w:val="multilevel"/>
    <w:tmpl w:val="B23E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41EFD"/>
    <w:rsid w:val="001F6E1A"/>
    <w:rsid w:val="00325004"/>
    <w:rsid w:val="003B2474"/>
    <w:rsid w:val="00536366"/>
    <w:rsid w:val="005819D0"/>
    <w:rsid w:val="00685C1A"/>
    <w:rsid w:val="00E0716D"/>
    <w:rsid w:val="00F25644"/>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572F41"/>
  <w14:defaultImageDpi w14:val="300"/>
  <w15:docId w15:val="{2EA68D2E-3B93-4810-90A0-99555477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066714">
      <w:bodyDiv w:val="1"/>
      <w:marLeft w:val="0"/>
      <w:marRight w:val="0"/>
      <w:marTop w:val="0"/>
      <w:marBottom w:val="0"/>
      <w:divBdr>
        <w:top w:val="none" w:sz="0" w:space="0" w:color="auto"/>
        <w:left w:val="none" w:sz="0" w:space="0" w:color="auto"/>
        <w:bottom w:val="none" w:sz="0" w:space="0" w:color="auto"/>
        <w:right w:val="none" w:sz="0" w:space="0" w:color="auto"/>
      </w:divBdr>
    </w:div>
    <w:div w:id="1161657319">
      <w:bodyDiv w:val="1"/>
      <w:marLeft w:val="0"/>
      <w:marRight w:val="0"/>
      <w:marTop w:val="0"/>
      <w:marBottom w:val="0"/>
      <w:divBdr>
        <w:top w:val="none" w:sz="0" w:space="0" w:color="auto"/>
        <w:left w:val="none" w:sz="0" w:space="0" w:color="auto"/>
        <w:bottom w:val="none" w:sz="0" w:space="0" w:color="auto"/>
        <w:right w:val="none" w:sz="0" w:space="0" w:color="auto"/>
      </w:divBdr>
    </w:div>
    <w:div w:id="1644043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Farah Mumtaz</cp:lastModifiedBy>
  <cp:revision>5</cp:revision>
  <cp:lastPrinted>2013-10-21T12:07:00Z</cp:lastPrinted>
  <dcterms:created xsi:type="dcterms:W3CDTF">2021-03-10T13:20:00Z</dcterms:created>
  <dcterms:modified xsi:type="dcterms:W3CDTF">2026-05-29T10:59:00Z</dcterms:modified>
</cp:coreProperties>
</file>