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A1E708" w14:textId="7B4C3E1A" w:rsidR="00325004" w:rsidRDefault="00704375" w:rsidP="00E0716D">
      <w:pPr>
        <w:jc w:val="center"/>
        <w:rPr>
          <w:b/>
          <w:sz w:val="28"/>
        </w:rPr>
      </w:pPr>
      <w:r w:rsidRPr="0051572A">
        <w:rPr>
          <w:b/>
          <w:sz w:val="28"/>
        </w:rPr>
        <w:t>E</w:t>
      </w:r>
      <w:r w:rsidR="00C10234" w:rsidRPr="0051572A">
        <w:rPr>
          <w:b/>
          <w:sz w:val="28"/>
        </w:rPr>
        <w:t>lectrocatalytic</w:t>
      </w:r>
      <w:r w:rsidR="0033284D" w:rsidRPr="0051572A">
        <w:rPr>
          <w:b/>
          <w:sz w:val="28"/>
        </w:rPr>
        <w:t xml:space="preserve">ally </w:t>
      </w:r>
      <w:r w:rsidRPr="0051572A">
        <w:rPr>
          <w:b/>
          <w:sz w:val="28"/>
        </w:rPr>
        <w:t>A</w:t>
      </w:r>
      <w:r w:rsidR="00C10234" w:rsidRPr="0051572A">
        <w:rPr>
          <w:b/>
          <w:sz w:val="28"/>
        </w:rPr>
        <w:t>mplifi</w:t>
      </w:r>
      <w:r w:rsidR="0033284D" w:rsidRPr="0051572A">
        <w:rPr>
          <w:b/>
          <w:sz w:val="28"/>
        </w:rPr>
        <w:t>ed</w:t>
      </w:r>
      <w:r w:rsidR="00C10234" w:rsidRPr="0051572A">
        <w:rPr>
          <w:b/>
          <w:sz w:val="28"/>
        </w:rPr>
        <w:t xml:space="preserve"> </w:t>
      </w:r>
      <w:r w:rsidRPr="0051572A">
        <w:rPr>
          <w:b/>
          <w:sz w:val="28"/>
        </w:rPr>
        <w:t>A</w:t>
      </w:r>
      <w:r w:rsidR="00C10234" w:rsidRPr="0051572A">
        <w:rPr>
          <w:b/>
          <w:sz w:val="28"/>
        </w:rPr>
        <w:t>ptasensing</w:t>
      </w:r>
      <w:r w:rsidR="0033284D" w:rsidRPr="0051572A">
        <w:rPr>
          <w:b/>
          <w:sz w:val="28"/>
        </w:rPr>
        <w:t xml:space="preserve"> of HER2: Comparative Analysis of Redox-Labelled and Soluble Indicators Strategies</w:t>
      </w:r>
    </w:p>
    <w:p w14:paraId="3621CCA2" w14:textId="77777777" w:rsidR="00C10234" w:rsidRPr="00A86EB9" w:rsidRDefault="00C10234" w:rsidP="00E0716D">
      <w:pPr>
        <w:jc w:val="center"/>
        <w:rPr>
          <w:b/>
          <w:sz w:val="28"/>
        </w:rPr>
      </w:pPr>
    </w:p>
    <w:p w14:paraId="70403697" w14:textId="77777777" w:rsidR="004B583D" w:rsidRPr="004B583D" w:rsidRDefault="004B583D" w:rsidP="0051572A">
      <w:pPr>
        <w:pStyle w:val="BBAuthorName"/>
        <w:spacing w:after="0" w:line="240" w:lineRule="auto"/>
        <w:rPr>
          <w:rFonts w:ascii="Times New Roman" w:hAnsi="Times New Roman"/>
          <w:i w:val="0"/>
          <w:iCs/>
          <w:sz w:val="20"/>
          <w:lang w:val="it-IT"/>
        </w:rPr>
      </w:pPr>
      <w:r w:rsidRPr="004B583D">
        <w:rPr>
          <w:rFonts w:ascii="Times New Roman" w:hAnsi="Times New Roman"/>
          <w:i w:val="0"/>
          <w:iCs/>
          <w:sz w:val="20"/>
          <w:u w:val="single"/>
          <w:lang w:val="it-IT"/>
        </w:rPr>
        <w:t>Giuseppina Rea</w:t>
      </w:r>
      <w:r w:rsidRPr="004B583D">
        <w:rPr>
          <w:rFonts w:ascii="Times New Roman" w:hAnsi="Times New Roman"/>
          <w:i w:val="0"/>
          <w:iCs/>
          <w:sz w:val="20"/>
          <w:u w:val="single"/>
          <w:vertAlign w:val="superscript"/>
          <w:lang w:val="it-IT"/>
        </w:rPr>
        <w:t>1</w:t>
      </w:r>
      <w:r w:rsidRPr="004B583D">
        <w:rPr>
          <w:rFonts w:ascii="Times New Roman" w:hAnsi="Times New Roman"/>
          <w:i w:val="0"/>
          <w:iCs/>
          <w:sz w:val="20"/>
          <w:vertAlign w:val="superscript"/>
          <w:lang w:val="it-IT"/>
        </w:rPr>
        <w:t xml:space="preserve"> </w:t>
      </w:r>
      <w:r w:rsidRPr="004B583D">
        <w:rPr>
          <w:rFonts w:ascii="Times New Roman" w:hAnsi="Times New Roman"/>
          <w:i w:val="0"/>
          <w:iCs/>
          <w:sz w:val="20"/>
          <w:lang w:val="it-IT"/>
        </w:rPr>
        <w:t>and Elena E. Ferapontova</w:t>
      </w:r>
      <w:r w:rsidRPr="004B583D">
        <w:rPr>
          <w:rFonts w:ascii="Times New Roman" w:hAnsi="Times New Roman"/>
          <w:i w:val="0"/>
          <w:iCs/>
          <w:sz w:val="20"/>
          <w:vertAlign w:val="superscript"/>
          <w:lang w:val="it-IT"/>
        </w:rPr>
        <w:t>1</w:t>
      </w:r>
    </w:p>
    <w:p w14:paraId="6A7B3876" w14:textId="77777777" w:rsidR="004B583D" w:rsidRPr="004B583D" w:rsidRDefault="004B583D" w:rsidP="0051572A">
      <w:pPr>
        <w:jc w:val="center"/>
      </w:pPr>
      <w:r w:rsidRPr="004F0F11">
        <w:rPr>
          <w:rFonts w:ascii="Calibri" w:hAnsi="Calibri" w:cs="Calibri"/>
          <w:vertAlign w:val="superscript"/>
        </w:rPr>
        <w:t xml:space="preserve">1 </w:t>
      </w:r>
      <w:r w:rsidRPr="00704375">
        <w:rPr>
          <w:i/>
          <w:iCs/>
        </w:rPr>
        <w:t>Interdisciplinary Nanoscience Center (iNANO), Natural Sciences, Aarhus University, Gustav Wieds Vej 1590-14, DK-8000 Aarhus C, Denmark</w:t>
      </w:r>
    </w:p>
    <w:p w14:paraId="2B4C1A6C" w14:textId="61CD5106" w:rsidR="00325004" w:rsidRPr="00AA5140" w:rsidRDefault="004B583D" w:rsidP="0051572A">
      <w:pPr>
        <w:spacing w:after="240"/>
        <w:jc w:val="center"/>
        <w:rPr>
          <w:rFonts w:eastAsia="Yu Mincho"/>
          <w:i/>
          <w:color w:val="000000"/>
        </w:rPr>
      </w:pPr>
      <w:r w:rsidRPr="004B583D">
        <w:rPr>
          <w:rFonts w:eastAsia="Yu Mincho"/>
          <w:i/>
          <w:color w:val="000000"/>
        </w:rPr>
        <w:t>email: au799067@uni.au.dk</w:t>
      </w:r>
    </w:p>
    <w:p w14:paraId="219E65A5" w14:textId="77777777" w:rsidR="00325004" w:rsidRDefault="00325004" w:rsidP="00E0716D">
      <w:pPr>
        <w:jc w:val="both"/>
      </w:pPr>
    </w:p>
    <w:p w14:paraId="111998E7" w14:textId="42AFC3CA" w:rsidR="00AA5140" w:rsidRPr="00D92A61" w:rsidRDefault="00AA5140" w:rsidP="00AA5140">
      <w:pPr>
        <w:spacing w:after="160" w:line="278" w:lineRule="auto"/>
        <w:jc w:val="both"/>
      </w:pPr>
      <w:r w:rsidRPr="00D92A61">
        <w:t>Electrochemical biosensors have emerged as promising analytical platforms for the rapid and sensitive detection of clinically relevant biomarkers [1]. In this work, surface-confined and solution-phase electrocatalytic amplification strategies were directly compared for the detection of HER2/neu, a clinically relevant biomarker associated with aggressive breast cancers. Gold disk electrodes were modified with a mixed self-assembled monolayer consisting of a HER2-specific thiolated aptamer and a thiolated polyethylene glycol (PEG) antifouling layer. Besides minimizing non-specific adsorption, PEG suppressed ferricyanide electrochemistry, thereby enabling mediator-assisted signal amplification</w:t>
      </w:r>
      <w:r w:rsidR="00E323F5">
        <w:t xml:space="preserve"> [2].</w:t>
      </w:r>
      <w:r w:rsidRPr="00D92A61">
        <w:t xml:space="preserve"> This concept was investigated using either methylene blue (MB) covalently tethered to the aptamer or freely diffusing positively charged mediators, namely methylene blue and ruthenium hexamine (RuHex).</w:t>
      </w:r>
    </w:p>
    <w:p w14:paraId="1E0BA079" w14:textId="39847D76" w:rsidR="00AA5140" w:rsidRPr="00D92A61" w:rsidRDefault="00AA5140" w:rsidP="00AA5140">
      <w:pPr>
        <w:spacing w:after="160" w:line="278" w:lineRule="auto"/>
        <w:jc w:val="both"/>
      </w:pPr>
      <w:r w:rsidRPr="00D92A61">
        <w:t>In both configurations, the positively charged mediators promoted the electrocatalytic reduction of ferricyanide through electrostatic interactions with the negatively charged aptamer layer. HER2 binding further enhanced the electrocatalytic process, resulting in a concentration-dependent increase in the electrochemical response</w:t>
      </w:r>
      <w:r w:rsidR="00C10234">
        <w:t xml:space="preserve"> [3]</w:t>
      </w:r>
      <w:r w:rsidRPr="00D92A61">
        <w:t>. The analytical performance of the different amplification strategies was evaluated in buffer and diluted human serum using chronocoulometry.</w:t>
      </w:r>
    </w:p>
    <w:p w14:paraId="3F181188" w14:textId="77777777" w:rsidR="00AA5140" w:rsidRPr="00D92A61" w:rsidRDefault="00AA5140" w:rsidP="00AA5140">
      <w:pPr>
        <w:spacing w:after="160" w:line="278" w:lineRule="auto"/>
        <w:jc w:val="both"/>
      </w:pPr>
      <w:r w:rsidRPr="00D92A61">
        <w:t xml:space="preserve">All investigated platforms enabled HER2 quantification over the concentration range of 0.1 fM–1 pM in both buffer and diluted human serum. The aptamer-tethered MB configuration exhibited the highest analytical sensitivity, with calibration slopes of 0.587 ± 0.01 and 0.420 ± 0.02 µC fM⁻¹ in buffer and serum, respectively, together with </w:t>
      </w:r>
      <w:r>
        <w:t xml:space="preserve">calculated </w:t>
      </w:r>
      <w:r w:rsidRPr="00D92A61">
        <w:t>LODs of 0.12 fM and 0.54 fM. Although lower sensitivities were obtained for the solution-phase MB and RuHex systems, both approaches enabled HER2 detection within the femtomolar concentration range.</w:t>
      </w:r>
    </w:p>
    <w:p w14:paraId="19656480" w14:textId="77777777" w:rsidR="00AA5140" w:rsidRDefault="00AA5140" w:rsidP="00AA5140">
      <w:pPr>
        <w:spacing w:after="160" w:line="278" w:lineRule="auto"/>
        <w:jc w:val="both"/>
      </w:pPr>
      <w:r w:rsidRPr="00D92A61">
        <w:t>Overall, these findings demonstrate the effectiveness of electrocatalytic amplification for ultrasensitive HER2 detection and identify surface-confined redox mediators as a particularly promising strategy for improving aptasensor performance.</w:t>
      </w:r>
    </w:p>
    <w:p w14:paraId="26549178" w14:textId="77777777" w:rsidR="00FB09AC" w:rsidRPr="0033284D" w:rsidRDefault="00FB09AC" w:rsidP="00FB09AC">
      <w:pPr>
        <w:jc w:val="both"/>
        <w:rPr>
          <w:b/>
          <w:bCs/>
          <w:color w:val="000000" w:themeColor="text1"/>
          <w:lang w:val="it-IT"/>
        </w:rPr>
      </w:pPr>
      <w:r w:rsidRPr="0033284D">
        <w:rPr>
          <w:b/>
          <w:bCs/>
          <w:color w:val="000000" w:themeColor="text1"/>
          <w:lang w:val="it-IT"/>
        </w:rPr>
        <w:t>References:</w:t>
      </w:r>
    </w:p>
    <w:p w14:paraId="155D771F" w14:textId="77777777" w:rsidR="00FB09AC" w:rsidRPr="0033284D" w:rsidRDefault="00FB09AC" w:rsidP="00FB09AC">
      <w:pPr>
        <w:jc w:val="both"/>
        <w:rPr>
          <w:color w:val="000000" w:themeColor="text1"/>
          <w:lang w:val="it-IT"/>
        </w:rPr>
      </w:pPr>
      <w:r w:rsidRPr="0033284D">
        <w:rPr>
          <w:color w:val="000000" w:themeColor="text1"/>
          <w:lang w:val="it-IT"/>
        </w:rPr>
        <w:t>[1] K. Małecka, E. Mikuła, E. E. Ferapontova, </w:t>
      </w:r>
      <w:r w:rsidRPr="0033284D">
        <w:rPr>
          <w:i/>
          <w:iCs/>
          <w:color w:val="000000" w:themeColor="text1"/>
          <w:lang w:val="it-IT"/>
        </w:rPr>
        <w:t>Sensors</w:t>
      </w:r>
      <w:r w:rsidRPr="0033284D">
        <w:rPr>
          <w:color w:val="000000" w:themeColor="text1"/>
          <w:lang w:val="it-IT"/>
        </w:rPr>
        <w:t>, </w:t>
      </w:r>
      <w:r w:rsidRPr="0033284D">
        <w:rPr>
          <w:b/>
          <w:bCs/>
          <w:color w:val="000000" w:themeColor="text1"/>
          <w:lang w:val="it-IT"/>
        </w:rPr>
        <w:t>2021</w:t>
      </w:r>
      <w:r w:rsidRPr="0033284D">
        <w:rPr>
          <w:color w:val="000000" w:themeColor="text1"/>
          <w:lang w:val="it-IT"/>
        </w:rPr>
        <w:t>, 21, 736.</w:t>
      </w:r>
    </w:p>
    <w:p w14:paraId="577CC5DD" w14:textId="68BF96E9" w:rsidR="00C10234" w:rsidRPr="0033284D" w:rsidRDefault="00FB09AC" w:rsidP="00C10234">
      <w:pPr>
        <w:spacing w:line="278" w:lineRule="auto"/>
        <w:jc w:val="both"/>
        <w:rPr>
          <w:color w:val="000000" w:themeColor="text1"/>
        </w:rPr>
      </w:pPr>
      <w:r w:rsidRPr="0033284D">
        <w:rPr>
          <w:color w:val="000000" w:themeColor="text1"/>
        </w:rPr>
        <w:t>[2] R. Salimian, L. Kékedy-Nagy, E. E. Ferapontova, </w:t>
      </w:r>
      <w:r w:rsidRPr="0033284D">
        <w:rPr>
          <w:i/>
          <w:iCs/>
          <w:color w:val="000000" w:themeColor="text1"/>
        </w:rPr>
        <w:t>ChemElectroChem</w:t>
      </w:r>
      <w:r w:rsidRPr="0033284D">
        <w:rPr>
          <w:color w:val="000000" w:themeColor="text1"/>
        </w:rPr>
        <w:t>, </w:t>
      </w:r>
      <w:r w:rsidRPr="0033284D">
        <w:rPr>
          <w:b/>
          <w:bCs/>
          <w:color w:val="000000" w:themeColor="text1"/>
        </w:rPr>
        <w:t>2017</w:t>
      </w:r>
      <w:r w:rsidRPr="0033284D">
        <w:rPr>
          <w:color w:val="000000" w:themeColor="text1"/>
        </w:rPr>
        <w:t>, 4, 872.</w:t>
      </w:r>
    </w:p>
    <w:p w14:paraId="2DEFF2E2" w14:textId="69458E88" w:rsidR="00C10234" w:rsidRPr="0033284D" w:rsidRDefault="00C10234" w:rsidP="00C10234">
      <w:pPr>
        <w:spacing w:line="278" w:lineRule="auto"/>
        <w:jc w:val="both"/>
        <w:rPr>
          <w:color w:val="000000" w:themeColor="text1"/>
        </w:rPr>
      </w:pPr>
      <w:r w:rsidRPr="0033284D">
        <w:rPr>
          <w:color w:val="000000" w:themeColor="text1"/>
          <w:lang w:val="it-IT"/>
        </w:rPr>
        <w:t>[3] K. Małecka, E. E. Ferapontova, </w:t>
      </w:r>
      <w:r w:rsidRPr="0033284D">
        <w:rPr>
          <w:i/>
          <w:iCs/>
          <w:color w:val="000000" w:themeColor="text1"/>
          <w:lang w:val="it-IT"/>
        </w:rPr>
        <w:t xml:space="preserve">ACS Appl. </w:t>
      </w:r>
      <w:r w:rsidRPr="0033284D">
        <w:rPr>
          <w:i/>
          <w:iCs/>
          <w:color w:val="000000" w:themeColor="text1"/>
        </w:rPr>
        <w:t>Mater. Interfaces</w:t>
      </w:r>
      <w:r w:rsidRPr="0033284D">
        <w:rPr>
          <w:color w:val="000000" w:themeColor="text1"/>
        </w:rPr>
        <w:t>, </w:t>
      </w:r>
      <w:r w:rsidRPr="0033284D">
        <w:rPr>
          <w:b/>
          <w:bCs/>
          <w:color w:val="000000" w:themeColor="text1"/>
        </w:rPr>
        <w:t>2021</w:t>
      </w:r>
      <w:r w:rsidRPr="0033284D">
        <w:rPr>
          <w:color w:val="000000" w:themeColor="text1"/>
        </w:rPr>
        <w:t>, 13, 37979.</w:t>
      </w:r>
    </w:p>
    <w:p w14:paraId="3794D986" w14:textId="466DAEC9" w:rsidR="00FB09AC" w:rsidRPr="00D11A10" w:rsidRDefault="00FB09AC" w:rsidP="00AA5140">
      <w:pPr>
        <w:spacing w:after="160" w:line="278" w:lineRule="auto"/>
        <w:jc w:val="both"/>
      </w:pPr>
    </w:p>
    <w:p w14:paraId="36BA49C0" w14:textId="77777777" w:rsidR="00C10234" w:rsidRPr="00D11A10" w:rsidRDefault="00C10234" w:rsidP="00C10234">
      <w:pPr>
        <w:jc w:val="both"/>
        <w:rPr>
          <w:b/>
          <w:bCs/>
          <w:i/>
          <w:iCs/>
        </w:rPr>
      </w:pPr>
      <w:r w:rsidRPr="00D11A10">
        <w:rPr>
          <w:b/>
          <w:bCs/>
          <w:i/>
          <w:iCs/>
        </w:rPr>
        <w:t xml:space="preserve">Acknowledgments </w:t>
      </w:r>
    </w:p>
    <w:p w14:paraId="23AC2C3C" w14:textId="77777777" w:rsidR="00C10234" w:rsidRPr="00D11A10" w:rsidRDefault="00C10234" w:rsidP="00C10234">
      <w:pPr>
        <w:jc w:val="both"/>
        <w:rPr>
          <w:lang w:val="en-GB"/>
        </w:rPr>
      </w:pPr>
      <w:r w:rsidRPr="00D11A10">
        <w:rPr>
          <w:i/>
          <w:iCs/>
          <w:lang w:val="en-GB"/>
        </w:rPr>
        <w:t>The work was supported by the European Union’s Horizon research and innovation programme under the Marie Skłodowska-Curie HORIZON – MSCA – 2023 – DN, Grant Agreement No. 101169504</w:t>
      </w:r>
      <w:r w:rsidRPr="00D11A10">
        <w:rPr>
          <w:i/>
          <w:iCs/>
        </w:rPr>
        <w:t>.</w:t>
      </w:r>
    </w:p>
    <w:p w14:paraId="499ED2B1" w14:textId="77777777" w:rsidR="00AA5140" w:rsidRPr="00D92A61" w:rsidRDefault="00AA5140" w:rsidP="00AA5140">
      <w:pPr>
        <w:spacing w:after="160" w:line="278" w:lineRule="auto"/>
        <w:jc w:val="both"/>
        <w:rPr>
          <w:lang w:val="en-GB"/>
        </w:rPr>
      </w:pPr>
    </w:p>
    <w:p w14:paraId="54AE3E8F" w14:textId="77777777" w:rsidR="00E0716D" w:rsidRPr="00FB09AC" w:rsidRDefault="00E0716D" w:rsidP="00E0716D">
      <w:pPr>
        <w:jc w:val="both"/>
      </w:pPr>
    </w:p>
    <w:sectPr w:rsidR="00E0716D" w:rsidRPr="00FB09AC" w:rsidSect="004B583D">
      <w:footnotePr>
        <w:numRestart w:val="eachSect"/>
      </w:footnotePr>
      <w:endnotePr>
        <w:numFmt w:val="decimal"/>
      </w:endnotePr>
      <w:pgSz w:w="11907" w:h="16840"/>
      <w:pgMar w:top="1701" w:right="1701" w:bottom="1701" w:left="1701" w:header="567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325004"/>
    <w:rsid w:val="0033284D"/>
    <w:rsid w:val="003F7154"/>
    <w:rsid w:val="004B583D"/>
    <w:rsid w:val="0051572A"/>
    <w:rsid w:val="00536366"/>
    <w:rsid w:val="00661A7E"/>
    <w:rsid w:val="00685C1A"/>
    <w:rsid w:val="00704375"/>
    <w:rsid w:val="00970D2A"/>
    <w:rsid w:val="00AA5140"/>
    <w:rsid w:val="00B80599"/>
    <w:rsid w:val="00C10234"/>
    <w:rsid w:val="00D11A10"/>
    <w:rsid w:val="00DC79AE"/>
    <w:rsid w:val="00E0716D"/>
    <w:rsid w:val="00E323F5"/>
    <w:rsid w:val="00F97641"/>
    <w:rsid w:val="00FB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26AD2AE"/>
  <w14:defaultImageDpi w14:val="300"/>
  <w15:docId w15:val="{435D5F50-7BAD-194B-B4DB-5A58ED9A4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AuthorName">
    <w:name w:val="BB_Author_Name"/>
    <w:basedOn w:val="Normal"/>
    <w:next w:val="Normal"/>
    <w:rsid w:val="004B583D"/>
    <w:pPr>
      <w:widowControl/>
      <w:spacing w:after="240" w:line="480" w:lineRule="auto"/>
      <w:jc w:val="center"/>
    </w:pPr>
    <w:rPr>
      <w:rFonts w:ascii="Times" w:hAnsi="Times"/>
      <w:i/>
      <w:snapToGrid/>
      <w:sz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00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431</Words>
  <Characters>2522</Characters>
  <Application>Microsoft Office Word</Application>
  <DocSecurity>0</DocSecurity>
  <Lines>51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Giusy R</cp:lastModifiedBy>
  <cp:revision>4</cp:revision>
  <cp:lastPrinted>2013-10-21T12:07:00Z</cp:lastPrinted>
  <dcterms:created xsi:type="dcterms:W3CDTF">2026-06-01T15:04:00Z</dcterms:created>
  <dcterms:modified xsi:type="dcterms:W3CDTF">2026-06-01T15:10:00Z</dcterms:modified>
</cp:coreProperties>
</file>