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8B5" w:rsidRDefault="00B0439E">
      <w:pPr>
        <w:jc w:val="center"/>
      </w:pPr>
      <w:r>
        <w:rPr>
          <w:b/>
          <w:bCs/>
          <w:sz w:val="28"/>
          <w:szCs w:val="28"/>
        </w:rPr>
        <w:t xml:space="preserve">Iron-Doped Copper-Based Metal-Organic Framework (Fe-Cu-BDC) as a Bimetallic </w:t>
      </w:r>
      <w:proofErr w:type="spellStart"/>
      <w:r>
        <w:rPr>
          <w:b/>
          <w:bCs/>
          <w:sz w:val="28"/>
          <w:szCs w:val="28"/>
        </w:rPr>
        <w:t>Electrocatalyst</w:t>
      </w:r>
      <w:proofErr w:type="spellEnd"/>
      <w:r>
        <w:rPr>
          <w:b/>
          <w:bCs/>
          <w:sz w:val="28"/>
          <w:szCs w:val="28"/>
        </w:rPr>
        <w:t xml:space="preserve"> for Selective CO</w:t>
      </w:r>
      <w:r>
        <w:rPr>
          <w:b/>
          <w:bCs/>
          <w:vertAlign w:val="subscript"/>
        </w:rPr>
        <w:t>2</w:t>
      </w:r>
      <w:r>
        <w:rPr>
          <w:b/>
          <w:bCs/>
          <w:sz w:val="28"/>
          <w:szCs w:val="28"/>
        </w:rPr>
        <w:t xml:space="preserve"> Reduction</w:t>
      </w:r>
    </w:p>
    <w:p w:rsidR="009578B5" w:rsidRDefault="009578B5"/>
    <w:p w:rsidR="009578B5" w:rsidRDefault="00B0439E">
      <w:pPr>
        <w:jc w:val="center"/>
      </w:pPr>
      <w:r w:rsidRPr="00B0439E">
        <w:rPr>
          <w:u w:val="single"/>
        </w:rPr>
        <w:t xml:space="preserve">Mohamed </w:t>
      </w:r>
      <w:proofErr w:type="spellStart"/>
      <w:r w:rsidRPr="00B0439E">
        <w:rPr>
          <w:u w:val="single"/>
        </w:rPr>
        <w:t>Abdelrahman</w:t>
      </w:r>
      <w:proofErr w:type="spellEnd"/>
      <w:r>
        <w:t xml:space="preserve">, Renata </w:t>
      </w:r>
      <w:proofErr w:type="spellStart"/>
      <w:r>
        <w:t>Bilewicz</w:t>
      </w:r>
      <w:proofErr w:type="spellEnd"/>
      <w:r>
        <w:t xml:space="preserve">, Krzysztof </w:t>
      </w:r>
      <w:proofErr w:type="spellStart"/>
      <w:r>
        <w:t>Stolarczyk</w:t>
      </w:r>
      <w:proofErr w:type="spellEnd"/>
    </w:p>
    <w:p w:rsidR="009578B5" w:rsidRDefault="00B0439E">
      <w:pPr>
        <w:jc w:val="center"/>
      </w:pPr>
      <w:r>
        <w:rPr>
          <w:i/>
          <w:iCs/>
        </w:rPr>
        <w:t>Faculty of Chemistry, University of Warsaw</w:t>
      </w:r>
    </w:p>
    <w:p w:rsidR="009578B5" w:rsidRDefault="00B0439E">
      <w:pPr>
        <w:jc w:val="center"/>
        <w:rPr>
          <w:i/>
          <w:iCs/>
        </w:rPr>
      </w:pPr>
      <w:proofErr w:type="spellStart"/>
      <w:r>
        <w:rPr>
          <w:i/>
          <w:iCs/>
        </w:rPr>
        <w:t>Pasteura</w:t>
      </w:r>
      <w:proofErr w:type="spellEnd"/>
      <w:r>
        <w:rPr>
          <w:i/>
          <w:iCs/>
        </w:rPr>
        <w:t xml:space="preserve"> 1, 02-093 Warsaw, Poland</w:t>
      </w:r>
    </w:p>
    <w:p w:rsidR="00B0439E" w:rsidRDefault="00B0439E">
      <w:pPr>
        <w:jc w:val="center"/>
      </w:pPr>
      <w:r>
        <w:rPr>
          <w:i/>
          <w:iCs/>
        </w:rPr>
        <w:t>m.abdelrahman@uw.edu.pl</w:t>
      </w:r>
    </w:p>
    <w:p w:rsidR="009578B5" w:rsidRDefault="009578B5"/>
    <w:p w:rsidR="009578B5" w:rsidRPr="006D7CE2" w:rsidRDefault="00B0439E" w:rsidP="006D7CE2">
      <w:pPr>
        <w:spacing w:line="360" w:lineRule="auto"/>
        <w:jc w:val="both"/>
      </w:pPr>
      <w:r w:rsidRPr="006D7CE2">
        <w:t>The electrochemical reduction of CO</w:t>
      </w:r>
      <w:r w:rsidRPr="006D7CE2">
        <w:rPr>
          <w:vertAlign w:val="subscript"/>
        </w:rPr>
        <w:t>2</w:t>
      </w:r>
      <w:r w:rsidRPr="006D7CE2">
        <w:t xml:space="preserve"> (CO</w:t>
      </w:r>
      <w:r w:rsidRPr="006D7CE2">
        <w:rPr>
          <w:vertAlign w:val="subscript"/>
        </w:rPr>
        <w:t>2</w:t>
      </w:r>
      <w:r w:rsidRPr="006D7CE2">
        <w:t xml:space="preserve">RR) represents a compelling strategy to simultaneously mitigate greenhouse gas emissions and store renewable energy in value-added chemical </w:t>
      </w:r>
      <w:proofErr w:type="spellStart"/>
      <w:r w:rsidRPr="006D7CE2">
        <w:t>feedstocks</w:t>
      </w:r>
      <w:proofErr w:type="spellEnd"/>
      <w:r w:rsidRPr="006D7CE2">
        <w:t xml:space="preserve">. However, the rational design of </w:t>
      </w:r>
      <w:proofErr w:type="spellStart"/>
      <w:r w:rsidRPr="006D7CE2">
        <w:t>electrocatalysts</w:t>
      </w:r>
      <w:proofErr w:type="spellEnd"/>
      <w:r w:rsidRPr="006D7CE2">
        <w:t xml:space="preserve"> that combine high activity, product selectivity, and long-term operational stability remains a formidable challenge. Metal-organic frameworks (MOFs) have recently attracted significant attention as CO</w:t>
      </w:r>
      <w:r w:rsidRPr="006D7CE2">
        <w:rPr>
          <w:vertAlign w:val="subscript"/>
        </w:rPr>
        <w:t>2</w:t>
      </w:r>
      <w:r w:rsidRPr="006D7CE2">
        <w:t>RR candidates owing to their exceptionally high surface areas, tunable porosity, well-defined metal active sites, and rich chemical functionality.</w:t>
      </w:r>
    </w:p>
    <w:p w:rsidR="009578B5" w:rsidRPr="006D7CE2" w:rsidRDefault="009578B5" w:rsidP="006D7CE2">
      <w:pPr>
        <w:spacing w:line="360" w:lineRule="auto"/>
      </w:pPr>
    </w:p>
    <w:p w:rsidR="009578B5" w:rsidRPr="006D7CE2" w:rsidRDefault="00B0439E" w:rsidP="006D7CE2">
      <w:pPr>
        <w:spacing w:line="360" w:lineRule="auto"/>
        <w:jc w:val="both"/>
      </w:pPr>
      <w:r w:rsidRPr="006D7CE2">
        <w:t>In this work, we report the synthesis and electrochemical evaluation of a series of iron-doped copper-terephthalate MOFs (</w:t>
      </w:r>
      <w:bookmarkStart w:id="0" w:name="_GoBack"/>
      <w:bookmarkEnd w:id="0"/>
      <w:r w:rsidRPr="006D7CE2">
        <w:t>Fe-Cu-BDC, BDC = 1</w:t>
      </w:r>
      <w:proofErr w:type="gramStart"/>
      <w:r w:rsidRPr="006D7CE2">
        <w:t>,4</w:t>
      </w:r>
      <w:proofErr w:type="gramEnd"/>
      <w:r w:rsidRPr="006D7CE2">
        <w:t xml:space="preserve">-benzenedicarboxylate) as bimetallic </w:t>
      </w:r>
      <w:proofErr w:type="spellStart"/>
      <w:r w:rsidRPr="006D7CE2">
        <w:t>electrocatalysts</w:t>
      </w:r>
      <w:proofErr w:type="spellEnd"/>
      <w:r w:rsidRPr="006D7CE2">
        <w:t xml:space="preserve"> for CO</w:t>
      </w:r>
      <w:r w:rsidRPr="006D7CE2">
        <w:rPr>
          <w:vertAlign w:val="subscript"/>
        </w:rPr>
        <w:t>2</w:t>
      </w:r>
      <w:r w:rsidRPr="006D7CE2">
        <w:t xml:space="preserve"> reduction. Fe-Cu-BDC materials with Fe loadings ranging from 0 to 30 </w:t>
      </w:r>
      <w:proofErr w:type="spellStart"/>
      <w:r w:rsidRPr="006D7CE2">
        <w:t>mol</w:t>
      </w:r>
      <w:proofErr w:type="spellEnd"/>
      <w:r w:rsidRPr="006D7CE2">
        <w:t xml:space="preserve">% were prepared via a facile room-temperature co-precipitation route in </w:t>
      </w:r>
      <w:proofErr w:type="spellStart"/>
      <w:r w:rsidRPr="006D7CE2">
        <w:t>dimethylformamide</w:t>
      </w:r>
      <w:proofErr w:type="spellEnd"/>
      <w:r w:rsidRPr="006D7CE2">
        <w:t xml:space="preserve"> (DMF). The resulting materials were comprehensively </w:t>
      </w:r>
      <w:proofErr w:type="spellStart"/>
      <w:r w:rsidRPr="006D7CE2">
        <w:t>characterised</w:t>
      </w:r>
      <w:proofErr w:type="spellEnd"/>
      <w:r w:rsidRPr="006D7CE2">
        <w:t xml:space="preserve"> by powder X-ray diffraction (PXRD), scanning electron microscopy coupled with energy-dispersive X-ray spectroscopy (SEM/EDS), transmission electron microscopy (TEM), and X-ray photoelectron spectroscopy (XPS), confirming the successful incorporation of Fe into the Cu-BDC framework and revealing the coexistence of Cu</w:t>
      </w:r>
      <w:r w:rsidRPr="006D7CE2">
        <w:rPr>
          <w:vertAlign w:val="superscript"/>
        </w:rPr>
        <w:t>2+</w:t>
      </w:r>
      <w:r w:rsidRPr="006D7CE2">
        <w:t xml:space="preserve"> and Fe</w:t>
      </w:r>
      <w:r w:rsidRPr="006D7CE2">
        <w:rPr>
          <w:vertAlign w:val="superscript"/>
        </w:rPr>
        <w:t>2+/3+</w:t>
      </w:r>
      <w:r w:rsidRPr="006D7CE2">
        <w:t xml:space="preserve"> oxidation states. Electrochemical measurements were conducted by linear sweep voltammetry (LSV) in CO</w:t>
      </w:r>
      <w:r w:rsidRPr="006D7CE2">
        <w:rPr>
          <w:vertAlign w:val="subscript"/>
        </w:rPr>
        <w:t>2</w:t>
      </w:r>
      <w:r w:rsidRPr="006D7CE2">
        <w:t>-saturated 0.5 M KHCO</w:t>
      </w:r>
      <w:r w:rsidRPr="006D7CE2">
        <w:rPr>
          <w:vertAlign w:val="subscript"/>
        </w:rPr>
        <w:t>3</w:t>
      </w:r>
      <w:r w:rsidRPr="006D7CE2">
        <w:t xml:space="preserve"> with catalyst films drop-cast onto carbon paper electrodes. Among all compositions examined, the 20% Fe-Cu-BDC catalyst demonstrated the highest CO</w:t>
      </w:r>
      <w:r w:rsidRPr="006D7CE2">
        <w:rPr>
          <w:vertAlign w:val="subscript"/>
        </w:rPr>
        <w:t>2</w:t>
      </w:r>
      <w:r w:rsidRPr="006D7CE2">
        <w:t>RR activity, delivering a current density of 5.31 mA cm</w:t>
      </w:r>
      <w:r w:rsidRPr="006D7CE2">
        <w:rPr>
          <w:vertAlign w:val="superscript"/>
        </w:rPr>
        <w:t>−2</w:t>
      </w:r>
      <w:r w:rsidRPr="006D7CE2">
        <w:t xml:space="preserve"> at −0.5 V vs. RHE with a CO</w:t>
      </w:r>
      <w:r w:rsidRPr="006D7CE2">
        <w:rPr>
          <w:vertAlign w:val="subscript"/>
        </w:rPr>
        <w:t>2</w:t>
      </w:r>
      <w:r w:rsidRPr="006D7CE2">
        <w:t>RR selectivity exceeding 83%, and a beneficial anodic potential shift of +210 mV compared to the hydrogen evolution reaction at 10 mA cm</w:t>
      </w:r>
      <w:r w:rsidRPr="006D7CE2">
        <w:rPr>
          <w:vertAlign w:val="superscript"/>
        </w:rPr>
        <w:t>−2</w:t>
      </w:r>
      <w:r w:rsidRPr="006D7CE2">
        <w:t xml:space="preserve">. Furthermore, the 20% Fe-Cu-BDC electrode exhibited exceptional long-term stability over 24 hours of continuous </w:t>
      </w:r>
      <w:proofErr w:type="spellStart"/>
      <w:r w:rsidRPr="006D7CE2">
        <w:t>chronoamperometric</w:t>
      </w:r>
      <w:proofErr w:type="spellEnd"/>
      <w:r w:rsidRPr="006D7CE2">
        <w:t xml:space="preserve"> operation under CO</w:t>
      </w:r>
      <w:r w:rsidRPr="006D7CE2">
        <w:rPr>
          <w:vertAlign w:val="subscript"/>
        </w:rPr>
        <w:t>2</w:t>
      </w:r>
      <w:r w:rsidRPr="006D7CE2">
        <w:t xml:space="preserve"> atmosphere.</w:t>
      </w:r>
    </w:p>
    <w:p w:rsidR="009578B5" w:rsidRPr="006D7CE2" w:rsidRDefault="009578B5" w:rsidP="006D7CE2">
      <w:pPr>
        <w:spacing w:line="360" w:lineRule="auto"/>
      </w:pPr>
    </w:p>
    <w:p w:rsidR="009578B5" w:rsidRPr="006D7CE2" w:rsidRDefault="00B0439E" w:rsidP="006D7CE2">
      <w:pPr>
        <w:spacing w:line="360" w:lineRule="auto"/>
        <w:jc w:val="both"/>
      </w:pPr>
      <w:r w:rsidRPr="006D7CE2">
        <w:t>These findings demonstrate that controlled Fe incorporation into the Cu-BDC framework effectively tunes the electronic structure of copper active sites, suppresses the competitive hydrogen evolution reaction, and generates a synergistic bimetallic environment that substantially enhances CO</w:t>
      </w:r>
      <w:r w:rsidRPr="006D7CE2">
        <w:rPr>
          <w:vertAlign w:val="subscript"/>
        </w:rPr>
        <w:t>2</w:t>
      </w:r>
      <w:r w:rsidRPr="006D7CE2">
        <w:t>RR performance. This work establishes bimetallic MOF-based materials as a versatile and promising platform for the sustainable electrochemical conversion of CO</w:t>
      </w:r>
      <w:r w:rsidRPr="006D7CE2">
        <w:rPr>
          <w:vertAlign w:val="subscript"/>
        </w:rPr>
        <w:t>2</w:t>
      </w:r>
      <w:r w:rsidRPr="006D7CE2">
        <w:t>.</w:t>
      </w:r>
    </w:p>
    <w:sectPr w:rsidR="009578B5" w:rsidRPr="006D7CE2">
      <w:pgSz w:w="11906" w:h="16838"/>
      <w:pgMar w:top="1701" w:right="1701" w:bottom="1701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2E11C7"/>
    <w:multiLevelType w:val="hybridMultilevel"/>
    <w:tmpl w:val="7D06EB9C"/>
    <w:lvl w:ilvl="0" w:tplc="5178C23E">
      <w:start w:val="1"/>
      <w:numFmt w:val="bullet"/>
      <w:lvlText w:val="●"/>
      <w:lvlJc w:val="left"/>
      <w:pPr>
        <w:ind w:left="720" w:hanging="360"/>
      </w:pPr>
    </w:lvl>
    <w:lvl w:ilvl="1" w:tplc="6874C8D6">
      <w:start w:val="1"/>
      <w:numFmt w:val="bullet"/>
      <w:lvlText w:val="○"/>
      <w:lvlJc w:val="left"/>
      <w:pPr>
        <w:ind w:left="1440" w:hanging="360"/>
      </w:pPr>
    </w:lvl>
    <w:lvl w:ilvl="2" w:tplc="56DA65E6">
      <w:start w:val="1"/>
      <w:numFmt w:val="bullet"/>
      <w:lvlText w:val="■"/>
      <w:lvlJc w:val="left"/>
      <w:pPr>
        <w:ind w:left="2160" w:hanging="360"/>
      </w:pPr>
    </w:lvl>
    <w:lvl w:ilvl="3" w:tplc="90A0B38C">
      <w:start w:val="1"/>
      <w:numFmt w:val="bullet"/>
      <w:lvlText w:val="●"/>
      <w:lvlJc w:val="left"/>
      <w:pPr>
        <w:ind w:left="2880" w:hanging="360"/>
      </w:pPr>
    </w:lvl>
    <w:lvl w:ilvl="4" w:tplc="B406F404">
      <w:start w:val="1"/>
      <w:numFmt w:val="bullet"/>
      <w:lvlText w:val="○"/>
      <w:lvlJc w:val="left"/>
      <w:pPr>
        <w:ind w:left="3600" w:hanging="360"/>
      </w:pPr>
    </w:lvl>
    <w:lvl w:ilvl="5" w:tplc="ECA891BC">
      <w:start w:val="1"/>
      <w:numFmt w:val="bullet"/>
      <w:lvlText w:val="■"/>
      <w:lvlJc w:val="left"/>
      <w:pPr>
        <w:ind w:left="4320" w:hanging="360"/>
      </w:pPr>
    </w:lvl>
    <w:lvl w:ilvl="6" w:tplc="83003786">
      <w:start w:val="1"/>
      <w:numFmt w:val="bullet"/>
      <w:lvlText w:val="●"/>
      <w:lvlJc w:val="left"/>
      <w:pPr>
        <w:ind w:left="5040" w:hanging="360"/>
      </w:pPr>
    </w:lvl>
    <w:lvl w:ilvl="7" w:tplc="9F3C5448">
      <w:start w:val="1"/>
      <w:numFmt w:val="bullet"/>
      <w:lvlText w:val="●"/>
      <w:lvlJc w:val="left"/>
      <w:pPr>
        <w:ind w:left="5760" w:hanging="360"/>
      </w:pPr>
    </w:lvl>
    <w:lvl w:ilvl="8" w:tplc="D9D8EF1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8B5"/>
    <w:rsid w:val="00464C01"/>
    <w:rsid w:val="006D7CE2"/>
    <w:rsid w:val="009578B5"/>
    <w:rsid w:val="00B0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374C34-45D7-45C9-B695-33E128F08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410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mmm</cp:lastModifiedBy>
  <cp:revision>4</cp:revision>
  <dcterms:created xsi:type="dcterms:W3CDTF">2026-05-20T12:01:00Z</dcterms:created>
  <dcterms:modified xsi:type="dcterms:W3CDTF">2026-05-20T12:28:00Z</dcterms:modified>
</cp:coreProperties>
</file>