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EBB83" w14:textId="79005244" w:rsidR="00A142A9" w:rsidRPr="00A86EB9" w:rsidRDefault="00A142A9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Better than </w:t>
      </w:r>
      <w:r w:rsidR="0069207C">
        <w:rPr>
          <w:b/>
          <w:sz w:val="28"/>
        </w:rPr>
        <w:t xml:space="preserve">just </w:t>
      </w:r>
      <w:r>
        <w:rPr>
          <w:b/>
          <w:sz w:val="28"/>
        </w:rPr>
        <w:t>overpotential</w:t>
      </w:r>
      <w:r w:rsidR="000B4B78">
        <w:rPr>
          <w:b/>
          <w:sz w:val="28"/>
        </w:rPr>
        <w:t xml:space="preserve"> and</w:t>
      </w:r>
      <w:r>
        <w:rPr>
          <w:b/>
          <w:sz w:val="28"/>
        </w:rPr>
        <w:t xml:space="preserve"> chronopotentiometry? Investigating activity and stability metrics for multi-objective </w:t>
      </w:r>
      <w:r w:rsidR="000B4B78">
        <w:rPr>
          <w:b/>
          <w:sz w:val="28"/>
        </w:rPr>
        <w:t>exploration</w:t>
      </w:r>
      <w:r>
        <w:rPr>
          <w:b/>
          <w:sz w:val="28"/>
        </w:rPr>
        <w:t xml:space="preserve"> of water oxidation catalysts</w:t>
      </w:r>
    </w:p>
    <w:p w14:paraId="27B55B71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7381C5E7" w14:textId="2109E252" w:rsidR="00325004" w:rsidRDefault="00264678" w:rsidP="00E0716D">
      <w:pPr>
        <w:jc w:val="center"/>
      </w:pPr>
      <w:r>
        <w:rPr>
          <w:u w:val="single"/>
        </w:rPr>
        <w:t>Jan Goran T. Tomacruz</w:t>
      </w:r>
      <w:r w:rsidRPr="00264678">
        <w:rPr>
          <w:vertAlign w:val="superscript"/>
        </w:rPr>
        <w:t>1,2</w:t>
      </w:r>
      <w:r w:rsidR="00325004">
        <w:t xml:space="preserve">, </w:t>
      </w:r>
      <w:r>
        <w:t>Soren B. Scott</w:t>
      </w:r>
      <w:r w:rsidRPr="00264678">
        <w:rPr>
          <w:vertAlign w:val="superscript"/>
        </w:rPr>
        <w:t>1,2</w:t>
      </w:r>
    </w:p>
    <w:p w14:paraId="5492368A" w14:textId="2A4F4168" w:rsidR="00325004" w:rsidRPr="00A86EB9" w:rsidRDefault="00264678" w:rsidP="00E0716D">
      <w:pPr>
        <w:jc w:val="center"/>
        <w:rPr>
          <w:i/>
        </w:rPr>
      </w:pPr>
      <w:r w:rsidRPr="00264678">
        <w:rPr>
          <w:vertAlign w:val="superscript"/>
        </w:rPr>
        <w:t>1</w:t>
      </w:r>
      <w:r>
        <w:rPr>
          <w:i/>
        </w:rPr>
        <w:t>Department of Chemistry, University of Copenhagen, Copenhagen, Denmark</w:t>
      </w:r>
    </w:p>
    <w:p w14:paraId="08431D22" w14:textId="00A6EFF8" w:rsidR="00325004" w:rsidRDefault="00264678" w:rsidP="00E0716D">
      <w:pPr>
        <w:jc w:val="center"/>
      </w:pPr>
      <w:r w:rsidRPr="00264678">
        <w:rPr>
          <w:vertAlign w:val="superscript"/>
        </w:rPr>
        <w:t>2</w:t>
      </w:r>
      <w:r w:rsidRPr="00264678">
        <w:rPr>
          <w:i/>
        </w:rPr>
        <w:t>Sino-Danish College, University of Chinese Academy of Sciences</w:t>
      </w:r>
      <w:r>
        <w:rPr>
          <w:i/>
        </w:rPr>
        <w:t xml:space="preserve">, </w:t>
      </w:r>
      <w:r w:rsidRPr="00264678">
        <w:rPr>
          <w:i/>
        </w:rPr>
        <w:t>Beijing</w:t>
      </w:r>
      <w:r>
        <w:rPr>
          <w:i/>
        </w:rPr>
        <w:t>, China</w:t>
      </w:r>
    </w:p>
    <w:p w14:paraId="11C16264" w14:textId="6A288D13" w:rsidR="00685C1A" w:rsidRPr="00685C1A" w:rsidRDefault="00264678" w:rsidP="00E0716D">
      <w:pPr>
        <w:jc w:val="center"/>
        <w:rPr>
          <w:i/>
        </w:rPr>
      </w:pPr>
      <w:r>
        <w:rPr>
          <w:i/>
        </w:rPr>
        <w:t>jgt@chem.ku.dk</w:t>
      </w:r>
    </w:p>
    <w:p w14:paraId="22EA339D" w14:textId="77777777" w:rsidR="003D5692" w:rsidRDefault="003D5692" w:rsidP="00E4094E">
      <w:pPr>
        <w:jc w:val="both"/>
      </w:pPr>
    </w:p>
    <w:p w14:paraId="6A27D8B8" w14:textId="53F5853B" w:rsidR="00BE348F" w:rsidRPr="00BE348F" w:rsidRDefault="00BE348F" w:rsidP="0003185B">
      <w:pPr>
        <w:jc w:val="both"/>
      </w:pPr>
      <w:r>
        <w:t xml:space="preserve">The ongoing development of electrocatalysts for water </w:t>
      </w:r>
      <w:proofErr w:type="spellStart"/>
      <w:r>
        <w:t>electrolyzer</w:t>
      </w:r>
      <w:proofErr w:type="spellEnd"/>
      <w:r>
        <w:t xml:space="preserve"> anodes is a multi-objective optimization problem, as v</w:t>
      </w:r>
      <w:r>
        <w:t>arious data-driven theoretical</w:t>
      </w:r>
      <w:r>
        <w:rPr>
          <w:vertAlign w:val="superscript"/>
        </w:rPr>
        <w:t>1</w:t>
      </w:r>
      <w:r>
        <w:t xml:space="preserve"> and experimental</w:t>
      </w:r>
      <w:r>
        <w:rPr>
          <w:vertAlign w:val="superscript"/>
        </w:rPr>
        <w:t>2</w:t>
      </w:r>
      <w:r>
        <w:t xml:space="preserve"> approaches are being done to discover new compositions and improve performance.</w:t>
      </w:r>
      <w:r>
        <w:t xml:space="preserve"> </w:t>
      </w:r>
      <w:r>
        <w:t xml:space="preserve">Catalysts are typically evaluated </w:t>
      </w:r>
      <w:r>
        <w:t>by</w:t>
      </w:r>
      <w:r>
        <w:t xml:space="preserve"> activity</w:t>
      </w:r>
      <w:r>
        <w:t xml:space="preserve"> and stability, often measured </w:t>
      </w:r>
      <w:r>
        <w:t>respectively</w:t>
      </w:r>
      <w:r>
        <w:t xml:space="preserve"> using overpotential and chronopotentiometry or chronoamperometry time, but these metrics alone can lead to </w:t>
      </w:r>
      <w:r>
        <w:t>oversimplified and erroneous interpretation</w:t>
      </w:r>
      <w:r>
        <w:t>s</w:t>
      </w:r>
      <w:r>
        <w:rPr>
          <w:vertAlign w:val="superscript"/>
        </w:rPr>
        <w:t>3,4</w:t>
      </w:r>
      <w:r>
        <w:t>.</w:t>
      </w:r>
      <w:r>
        <w:t xml:space="preserve"> Here, we propose two objectives: turnover frequency at a set potential</w:t>
      </w:r>
      <w:r>
        <w:rPr>
          <w:vertAlign w:val="superscript"/>
        </w:rPr>
        <w:t>5</w:t>
      </w:r>
      <w:r>
        <w:t>, and price-normalized stability number</w:t>
      </w:r>
      <w:r>
        <w:rPr>
          <w:vertAlign w:val="superscript"/>
        </w:rPr>
        <w:t>6</w:t>
      </w:r>
      <w:r>
        <w:t>. We use oxygen evolution reaction</w:t>
      </w:r>
      <w:r w:rsidR="00592D3C">
        <w:t xml:space="preserve"> (OER)</w:t>
      </w:r>
      <w:r>
        <w:t xml:space="preserve"> in alkaline media as a starting point, since </w:t>
      </w:r>
      <w:r w:rsidR="00592D3C">
        <w:t xml:space="preserve">OER is a key kinetic bottleneck and alkaline electrolysis is the most mature </w:t>
      </w:r>
      <w:proofErr w:type="spellStart"/>
      <w:r w:rsidR="00592D3C">
        <w:t>electrolyzer</w:t>
      </w:r>
      <w:proofErr w:type="spellEnd"/>
      <w:r w:rsidR="00592D3C">
        <w:t xml:space="preserve"> technology</w:t>
      </w:r>
      <w:r>
        <w:rPr>
          <w:vertAlign w:val="superscript"/>
        </w:rPr>
        <w:t>7</w:t>
      </w:r>
      <w:r>
        <w:t>.</w:t>
      </w:r>
      <w:r w:rsidRPr="00BE348F">
        <w:t xml:space="preserve"> </w:t>
      </w:r>
      <w:r w:rsidRPr="00BE348F">
        <w:t xml:space="preserve">We also construct methodologies to extract </w:t>
      </w:r>
      <w:r w:rsidRPr="00BE348F">
        <w:t xml:space="preserve">these objectives </w:t>
      </w:r>
      <w:r w:rsidRPr="00BE348F">
        <w:t>or</w:t>
      </w:r>
      <w:r w:rsidRPr="00BE348F">
        <w:t xml:space="preserve"> calculate lower-bound</w:t>
      </w:r>
      <w:r w:rsidRPr="00BE348F">
        <w:t xml:space="preserve"> estimate</w:t>
      </w:r>
      <w:r w:rsidRPr="00BE348F">
        <w:t>s</w:t>
      </w:r>
      <w:r w:rsidRPr="00BE348F">
        <w:t xml:space="preserve"> from a wide range of data reporting conventions and applicable assumptions</w:t>
      </w:r>
      <w:r w:rsidRPr="00BE348F">
        <w:t xml:space="preserve"> </w:t>
      </w:r>
      <w:r w:rsidRPr="00BE348F">
        <w:t>in the literature</w:t>
      </w:r>
      <w:r w:rsidRPr="00BE348F">
        <w:t xml:space="preserve">. </w:t>
      </w:r>
      <w:r w:rsidRPr="00BE348F">
        <w:t xml:space="preserve">For </w:t>
      </w:r>
      <w:r w:rsidR="00592D3C">
        <w:t>example</w:t>
      </w:r>
      <w:r>
        <w:t>, all atoms in a material are assumed active if active sites were not quantified</w:t>
      </w:r>
      <w:r>
        <w:t>,</w:t>
      </w:r>
      <w:r>
        <w:t xml:space="preserve"> which would result to a lower</w:t>
      </w:r>
      <w:r>
        <w:t>-bound</w:t>
      </w:r>
      <w:r>
        <w:t xml:space="preserve"> </w:t>
      </w:r>
      <w:r>
        <w:t>turnover frequency</w:t>
      </w:r>
      <w:r>
        <w:t xml:space="preserve">. </w:t>
      </w:r>
      <w:r>
        <w:t>Similarly</w:t>
      </w:r>
      <w:r>
        <w:t xml:space="preserve">, </w:t>
      </w:r>
      <w:r w:rsidR="00592D3C">
        <w:t xml:space="preserve">all active metals are assumed to dissolve at the end of </w:t>
      </w:r>
      <w:r w:rsidR="00592D3C">
        <w:t>chronopotentiometry or chronoamperometry measurements</w:t>
      </w:r>
      <w:r w:rsidR="00592D3C">
        <w:t xml:space="preserve"> if exact dissolution was not measured, </w:t>
      </w:r>
      <w:r w:rsidR="00592D3C">
        <w:t>resulting in a lower-bound stability number.</w:t>
      </w:r>
      <w:r w:rsidR="00592D3C">
        <w:t xml:space="preserve"> </w:t>
      </w:r>
      <w:r w:rsidR="00592D3C">
        <w:t>A Pareto front is also plotted on catalysts that are Pareto optimal</w:t>
      </w:r>
      <w:r w:rsidR="00592D3C">
        <w:rPr>
          <w:vertAlign w:val="superscript"/>
        </w:rPr>
        <w:t>8</w:t>
      </w:r>
      <w:r w:rsidR="00592D3C">
        <w:t>, that is if one catalyst is not outperformed by another on either activity or stability. Although this work can function as a reference for further studies on catalysts on this Pareto front, a stronger point to emphasize is that more accurate activity and stability techniques must be conducted for more reliable comparisons and multi-objective optimizations.</w:t>
      </w:r>
    </w:p>
    <w:p w14:paraId="020BA996" w14:textId="77777777" w:rsidR="006C7BFE" w:rsidRDefault="006C7BFE" w:rsidP="00E0716D">
      <w:pPr>
        <w:jc w:val="both"/>
      </w:pPr>
    </w:p>
    <w:p w14:paraId="76B33A2F" w14:textId="10560F47" w:rsidR="00E4094E" w:rsidRPr="00AF5264" w:rsidRDefault="00E4094E" w:rsidP="00E0716D">
      <w:pPr>
        <w:jc w:val="both"/>
        <w:rPr>
          <w:color w:val="000000" w:themeColor="text1"/>
        </w:rPr>
      </w:pPr>
      <w:r w:rsidRPr="00E4094E">
        <w:rPr>
          <w:color w:val="000000" w:themeColor="text1"/>
        </w:rPr>
        <w:t>Refer</w:t>
      </w:r>
      <w:r w:rsidRPr="00AF5264">
        <w:rPr>
          <w:color w:val="000000" w:themeColor="text1"/>
        </w:rPr>
        <w:t>ences</w:t>
      </w:r>
      <w:r w:rsidR="000D6C48">
        <w:rPr>
          <w:color w:val="000000" w:themeColor="text1"/>
        </w:rPr>
        <w:t>:</w:t>
      </w:r>
    </w:p>
    <w:p w14:paraId="43FAD9F7" w14:textId="578B9290" w:rsidR="00EB0949" w:rsidRPr="00AF5264" w:rsidRDefault="00EB0949" w:rsidP="00AF5264">
      <w:pPr>
        <w:pStyle w:val="ListParagraph"/>
        <w:widowControl/>
        <w:numPr>
          <w:ilvl w:val="0"/>
          <w:numId w:val="2"/>
        </w:numPr>
        <w:ind w:left="426" w:hanging="426"/>
        <w:rPr>
          <w:snapToGrid/>
          <w:color w:val="000000" w:themeColor="text1"/>
          <w:lang w:val="en-PH"/>
        </w:rPr>
      </w:pPr>
      <w:r w:rsidRPr="00AF5264">
        <w:rPr>
          <w:snapToGrid/>
          <w:color w:val="000000" w:themeColor="text1"/>
          <w:lang w:val="en-PH"/>
        </w:rPr>
        <w:t xml:space="preserve">Zhang, C.; Lu, R.; Sun, Q.; Mao, Y.; </w:t>
      </w:r>
      <w:proofErr w:type="spellStart"/>
      <w:r w:rsidRPr="00AF5264">
        <w:rPr>
          <w:snapToGrid/>
          <w:color w:val="000000" w:themeColor="text1"/>
          <w:lang w:val="en-PH"/>
        </w:rPr>
        <w:t>Söhnel</w:t>
      </w:r>
      <w:proofErr w:type="spellEnd"/>
      <w:r w:rsidRPr="00AF5264">
        <w:rPr>
          <w:snapToGrid/>
          <w:color w:val="000000" w:themeColor="text1"/>
          <w:lang w:val="en-PH"/>
        </w:rPr>
        <w:t xml:space="preserve">, T.; Zhao, Y.; Truhlar, D. G.; Wang, Z. Finding the Pareto Front for High-Entropy-Alloy Catalysts. </w:t>
      </w:r>
      <w:r w:rsidRPr="00AF5264">
        <w:rPr>
          <w:i/>
          <w:iCs/>
          <w:snapToGrid/>
          <w:color w:val="000000" w:themeColor="text1"/>
          <w:lang w:val="en-PH"/>
        </w:rPr>
        <w:t>Chemical Science</w:t>
      </w:r>
      <w:r w:rsidRPr="00AF5264">
        <w:rPr>
          <w:snapToGrid/>
          <w:color w:val="000000" w:themeColor="text1"/>
          <w:lang w:val="en-PH"/>
        </w:rPr>
        <w:t xml:space="preserve"> </w:t>
      </w:r>
      <w:r w:rsidRPr="00AF5264">
        <w:rPr>
          <w:b/>
          <w:bCs/>
          <w:snapToGrid/>
          <w:color w:val="000000" w:themeColor="text1"/>
          <w:lang w:val="en-PH"/>
        </w:rPr>
        <w:t>2026</w:t>
      </w:r>
      <w:r w:rsidRPr="00AF5264">
        <w:rPr>
          <w:snapToGrid/>
          <w:color w:val="000000" w:themeColor="text1"/>
          <w:lang w:val="en-PH"/>
        </w:rPr>
        <w:t xml:space="preserve">, </w:t>
      </w:r>
      <w:r w:rsidRPr="00AF5264">
        <w:rPr>
          <w:i/>
          <w:iCs/>
          <w:snapToGrid/>
          <w:color w:val="000000" w:themeColor="text1"/>
          <w:lang w:val="en-PH"/>
        </w:rPr>
        <w:t>17</w:t>
      </w:r>
      <w:r w:rsidRPr="00AF5264">
        <w:rPr>
          <w:snapToGrid/>
          <w:color w:val="000000" w:themeColor="text1"/>
          <w:lang w:val="en-PH"/>
        </w:rPr>
        <w:t xml:space="preserve"> (9), 4744–4752. https://doi.org/10.1039/d5sc06100h.</w:t>
      </w:r>
    </w:p>
    <w:p w14:paraId="2F329B43" w14:textId="0E40FEE0" w:rsidR="00EB0949" w:rsidRPr="00AF5264" w:rsidRDefault="00EB0949" w:rsidP="00AF5264">
      <w:pPr>
        <w:pStyle w:val="ListParagraph"/>
        <w:widowControl/>
        <w:numPr>
          <w:ilvl w:val="0"/>
          <w:numId w:val="2"/>
        </w:numPr>
        <w:shd w:val="clear" w:color="auto" w:fill="FFFFFF"/>
        <w:ind w:left="426" w:hanging="426"/>
        <w:rPr>
          <w:snapToGrid/>
          <w:color w:val="000000" w:themeColor="text1"/>
          <w:lang w:val="en-PH"/>
        </w:rPr>
      </w:pPr>
      <w:r w:rsidRPr="00AF5264">
        <w:rPr>
          <w:snapToGrid/>
          <w:color w:val="000000" w:themeColor="text1"/>
          <w:lang w:val="en-PH"/>
        </w:rPr>
        <w:t xml:space="preserve">Jiang, X.; Wang, Y.; Jia, B.; Qu, X.; Qin, M. Using Machine Learning to Predict Oxygen Evolution Activity for Transition Metal Hydroxide Electrocatalysts. </w:t>
      </w:r>
      <w:r w:rsidRPr="00AF5264">
        <w:rPr>
          <w:i/>
          <w:iCs/>
          <w:snapToGrid/>
          <w:color w:val="000000" w:themeColor="text1"/>
          <w:lang w:val="en-PH"/>
        </w:rPr>
        <w:t>ACS Applied Materials &amp; Interfaces</w:t>
      </w:r>
      <w:r w:rsidRPr="00AF5264">
        <w:rPr>
          <w:snapToGrid/>
          <w:color w:val="000000" w:themeColor="text1"/>
          <w:lang w:val="en-PH"/>
        </w:rPr>
        <w:t xml:space="preserve"> </w:t>
      </w:r>
      <w:r w:rsidRPr="00AF5264">
        <w:rPr>
          <w:b/>
          <w:bCs/>
          <w:snapToGrid/>
          <w:color w:val="000000" w:themeColor="text1"/>
          <w:lang w:val="en-PH"/>
        </w:rPr>
        <w:t>2022</w:t>
      </w:r>
      <w:r w:rsidRPr="00AF5264">
        <w:rPr>
          <w:snapToGrid/>
          <w:color w:val="000000" w:themeColor="text1"/>
          <w:lang w:val="en-PH"/>
        </w:rPr>
        <w:t xml:space="preserve">, </w:t>
      </w:r>
      <w:r w:rsidRPr="00AF5264">
        <w:rPr>
          <w:i/>
          <w:iCs/>
          <w:snapToGrid/>
          <w:color w:val="000000" w:themeColor="text1"/>
          <w:lang w:val="en-PH"/>
        </w:rPr>
        <w:t>14</w:t>
      </w:r>
      <w:r w:rsidRPr="00AF5264">
        <w:rPr>
          <w:snapToGrid/>
          <w:color w:val="000000" w:themeColor="text1"/>
          <w:lang w:val="en-PH"/>
        </w:rPr>
        <w:t xml:space="preserve"> (36), 41141–41148. https://doi.org/10.1021/acsami.2c13435.</w:t>
      </w:r>
    </w:p>
    <w:p w14:paraId="18C21EC2" w14:textId="04530FFA" w:rsidR="00FE1FCA" w:rsidRPr="00AF5264" w:rsidRDefault="00FE1FCA" w:rsidP="00AF5264">
      <w:pPr>
        <w:pStyle w:val="ListParagraph"/>
        <w:widowControl/>
        <w:numPr>
          <w:ilvl w:val="0"/>
          <w:numId w:val="2"/>
        </w:numPr>
        <w:ind w:left="426" w:hanging="426"/>
        <w:rPr>
          <w:snapToGrid/>
          <w:color w:val="000000" w:themeColor="text1"/>
          <w:lang w:val="en-PH"/>
        </w:rPr>
      </w:pPr>
      <w:r w:rsidRPr="00AF5264">
        <w:rPr>
          <w:snapToGrid/>
          <w:color w:val="000000" w:themeColor="text1"/>
          <w:lang w:val="en-PH"/>
        </w:rPr>
        <w:t xml:space="preserve">Kibsgaard, J.; Chorkendorff, I. Considerations for the Scaling-up of Water Splitting Catalysts. </w:t>
      </w:r>
      <w:r w:rsidRPr="00AF5264">
        <w:rPr>
          <w:i/>
          <w:iCs/>
          <w:snapToGrid/>
          <w:color w:val="000000" w:themeColor="text1"/>
          <w:lang w:val="en-PH"/>
        </w:rPr>
        <w:t>Nature Energy</w:t>
      </w:r>
      <w:r w:rsidRPr="00AF5264">
        <w:rPr>
          <w:snapToGrid/>
          <w:color w:val="000000" w:themeColor="text1"/>
          <w:lang w:val="en-PH"/>
        </w:rPr>
        <w:t xml:space="preserve"> </w:t>
      </w:r>
      <w:r w:rsidRPr="00AF5264">
        <w:rPr>
          <w:b/>
          <w:bCs/>
          <w:snapToGrid/>
          <w:color w:val="000000" w:themeColor="text1"/>
          <w:lang w:val="en-PH"/>
        </w:rPr>
        <w:t>2019</w:t>
      </w:r>
      <w:r w:rsidRPr="00AF5264">
        <w:rPr>
          <w:snapToGrid/>
          <w:color w:val="000000" w:themeColor="text1"/>
          <w:lang w:val="en-PH"/>
        </w:rPr>
        <w:t xml:space="preserve">, </w:t>
      </w:r>
      <w:r w:rsidRPr="00AF5264">
        <w:rPr>
          <w:i/>
          <w:iCs/>
          <w:snapToGrid/>
          <w:color w:val="000000" w:themeColor="text1"/>
          <w:lang w:val="en-PH"/>
        </w:rPr>
        <w:t>4</w:t>
      </w:r>
      <w:r w:rsidRPr="00AF5264">
        <w:rPr>
          <w:snapToGrid/>
          <w:color w:val="000000" w:themeColor="text1"/>
          <w:lang w:val="en-PH"/>
        </w:rPr>
        <w:t xml:space="preserve"> (6), 430–433. </w:t>
      </w:r>
      <w:r w:rsidRPr="008E6699">
        <w:rPr>
          <w:snapToGrid/>
          <w:color w:val="000000" w:themeColor="text1"/>
          <w:lang w:val="en-PH"/>
        </w:rPr>
        <w:t>https://doi.org/10.1038/s41560-019-0407-1</w:t>
      </w:r>
      <w:r w:rsidRPr="00AF5264">
        <w:rPr>
          <w:snapToGrid/>
          <w:color w:val="000000" w:themeColor="text1"/>
          <w:lang w:val="en-PH"/>
        </w:rPr>
        <w:t>.</w:t>
      </w:r>
    </w:p>
    <w:p w14:paraId="1C26997F" w14:textId="596980AA" w:rsidR="00FE1FCA" w:rsidRPr="007F70F9" w:rsidRDefault="00FE1FCA" w:rsidP="00AF5264">
      <w:pPr>
        <w:pStyle w:val="ListParagraph"/>
        <w:widowControl/>
        <w:numPr>
          <w:ilvl w:val="0"/>
          <w:numId w:val="2"/>
        </w:numPr>
        <w:ind w:left="426" w:hanging="426"/>
        <w:rPr>
          <w:snapToGrid/>
          <w:color w:val="000000" w:themeColor="text1"/>
          <w:lang w:val="en-PH"/>
        </w:rPr>
      </w:pPr>
      <w:r w:rsidRPr="00AF5264">
        <w:rPr>
          <w:snapToGrid/>
          <w:color w:val="000000" w:themeColor="text1"/>
          <w:lang w:val="en-PH"/>
        </w:rPr>
        <w:t xml:space="preserve">Wei, C.; Wang, Z.; Otani, K.; </w:t>
      </w:r>
      <w:proofErr w:type="spellStart"/>
      <w:r w:rsidRPr="00AF5264">
        <w:rPr>
          <w:snapToGrid/>
          <w:color w:val="000000" w:themeColor="text1"/>
          <w:lang w:val="en-PH"/>
        </w:rPr>
        <w:t>Hochfilzer</w:t>
      </w:r>
      <w:proofErr w:type="spellEnd"/>
      <w:r w:rsidRPr="00AF5264">
        <w:rPr>
          <w:snapToGrid/>
          <w:color w:val="000000" w:themeColor="text1"/>
          <w:lang w:val="en-PH"/>
        </w:rPr>
        <w:t xml:space="preserve">, D.; Zhang, K.; Nielsen, R.; Chorkendorff, I.; Kibsgaard, J. </w:t>
      </w:r>
      <w:r w:rsidRPr="007F70F9">
        <w:rPr>
          <w:snapToGrid/>
          <w:color w:val="000000" w:themeColor="text1"/>
          <w:lang w:val="en-PH"/>
        </w:rPr>
        <w:t xml:space="preserve">Benchmarking Electrocatalyst Stability for Acidic Oxygen Evolution Reaction: The Crucial Role of Dissolved Ion Concentration. </w:t>
      </w:r>
      <w:r w:rsidRPr="007F70F9">
        <w:rPr>
          <w:i/>
          <w:iCs/>
          <w:snapToGrid/>
          <w:color w:val="000000" w:themeColor="text1"/>
          <w:lang w:val="en-PH"/>
        </w:rPr>
        <w:t>ACS Catalysis</w:t>
      </w:r>
      <w:r w:rsidRPr="007F70F9">
        <w:rPr>
          <w:snapToGrid/>
          <w:color w:val="000000" w:themeColor="text1"/>
          <w:lang w:val="en-PH"/>
        </w:rPr>
        <w:t xml:space="preserve"> </w:t>
      </w:r>
      <w:r w:rsidRPr="007F70F9">
        <w:rPr>
          <w:b/>
          <w:bCs/>
          <w:snapToGrid/>
          <w:color w:val="000000" w:themeColor="text1"/>
          <w:lang w:val="en-PH"/>
        </w:rPr>
        <w:t>2023</w:t>
      </w:r>
      <w:r w:rsidRPr="007F70F9">
        <w:rPr>
          <w:snapToGrid/>
          <w:color w:val="000000" w:themeColor="text1"/>
          <w:lang w:val="en-PH"/>
        </w:rPr>
        <w:t xml:space="preserve">, </w:t>
      </w:r>
      <w:r w:rsidRPr="007F70F9">
        <w:rPr>
          <w:i/>
          <w:iCs/>
          <w:snapToGrid/>
          <w:color w:val="000000" w:themeColor="text1"/>
          <w:lang w:val="en-PH"/>
        </w:rPr>
        <w:t>13</w:t>
      </w:r>
      <w:r w:rsidRPr="007F70F9">
        <w:rPr>
          <w:snapToGrid/>
          <w:color w:val="000000" w:themeColor="text1"/>
          <w:lang w:val="en-PH"/>
        </w:rPr>
        <w:t xml:space="preserve"> (21), 14058–14069. https://doi.org/10.1021/acscatal.3c03257.</w:t>
      </w:r>
    </w:p>
    <w:p w14:paraId="17B38DCB" w14:textId="5A013ECA" w:rsidR="007F70F9" w:rsidRPr="007F70F9" w:rsidRDefault="007F70F9" w:rsidP="007F70F9">
      <w:pPr>
        <w:pStyle w:val="ListParagraph"/>
        <w:widowControl/>
        <w:numPr>
          <w:ilvl w:val="0"/>
          <w:numId w:val="2"/>
        </w:numPr>
        <w:ind w:left="426" w:hanging="426"/>
        <w:rPr>
          <w:snapToGrid/>
          <w:color w:val="000000" w:themeColor="text1"/>
          <w:lang w:val="en-PH"/>
        </w:rPr>
      </w:pPr>
      <w:r w:rsidRPr="007F70F9">
        <w:rPr>
          <w:snapToGrid/>
          <w:lang w:val="en-PH"/>
        </w:rPr>
        <w:t xml:space="preserve">Kozuch, S.; Martin, J. M. L. “Turning Over” Definitions in Catalytic Cycles. </w:t>
      </w:r>
      <w:r w:rsidRPr="007F70F9">
        <w:rPr>
          <w:i/>
          <w:iCs/>
          <w:snapToGrid/>
          <w:lang w:val="en-PH"/>
        </w:rPr>
        <w:t>ACS Catalysis</w:t>
      </w:r>
      <w:r w:rsidRPr="007F70F9">
        <w:rPr>
          <w:snapToGrid/>
          <w:lang w:val="en-PH"/>
        </w:rPr>
        <w:t xml:space="preserve"> </w:t>
      </w:r>
      <w:r w:rsidRPr="007F70F9">
        <w:rPr>
          <w:b/>
          <w:bCs/>
          <w:snapToGrid/>
          <w:lang w:val="en-PH"/>
        </w:rPr>
        <w:t>2012</w:t>
      </w:r>
      <w:r w:rsidRPr="007F70F9">
        <w:rPr>
          <w:snapToGrid/>
          <w:lang w:val="en-PH"/>
        </w:rPr>
        <w:t xml:space="preserve">, </w:t>
      </w:r>
      <w:r w:rsidRPr="007F70F9">
        <w:rPr>
          <w:i/>
          <w:iCs/>
          <w:snapToGrid/>
          <w:lang w:val="en-PH"/>
        </w:rPr>
        <w:t>2</w:t>
      </w:r>
      <w:r w:rsidRPr="007F70F9">
        <w:rPr>
          <w:snapToGrid/>
          <w:lang w:val="en-PH"/>
        </w:rPr>
        <w:t xml:space="preserve"> (12), 2787–2794. </w:t>
      </w:r>
      <w:r w:rsidRPr="007F70F9">
        <w:rPr>
          <w:snapToGrid/>
          <w:lang w:val="en-PH"/>
        </w:rPr>
        <w:t>https://doi.org/10.1021/cs3005264</w:t>
      </w:r>
      <w:r w:rsidRPr="007F70F9">
        <w:rPr>
          <w:snapToGrid/>
          <w:lang w:val="en-PH"/>
        </w:rPr>
        <w:t>.</w:t>
      </w:r>
    </w:p>
    <w:p w14:paraId="5A32F7FE" w14:textId="24A637B3" w:rsidR="00AF5264" w:rsidRPr="007F70F9" w:rsidRDefault="00FE1FCA" w:rsidP="007F70F9">
      <w:pPr>
        <w:pStyle w:val="ListParagraph"/>
        <w:widowControl/>
        <w:numPr>
          <w:ilvl w:val="0"/>
          <w:numId w:val="2"/>
        </w:numPr>
        <w:ind w:left="426" w:hanging="426"/>
        <w:rPr>
          <w:snapToGrid/>
          <w:color w:val="000000" w:themeColor="text1"/>
          <w:lang w:val="en-PH"/>
        </w:rPr>
      </w:pPr>
      <w:r w:rsidRPr="007F70F9">
        <w:rPr>
          <w:snapToGrid/>
          <w:color w:val="000000" w:themeColor="text1"/>
          <w:lang w:val="en-PH"/>
        </w:rPr>
        <w:t xml:space="preserve">Geiger, S.; Kasian, O.; </w:t>
      </w:r>
      <w:proofErr w:type="spellStart"/>
      <w:r w:rsidRPr="007F70F9">
        <w:rPr>
          <w:snapToGrid/>
          <w:color w:val="000000" w:themeColor="text1"/>
          <w:lang w:val="en-PH"/>
        </w:rPr>
        <w:t>Ledendecker</w:t>
      </w:r>
      <w:proofErr w:type="spellEnd"/>
      <w:r w:rsidRPr="007F70F9">
        <w:rPr>
          <w:snapToGrid/>
          <w:color w:val="000000" w:themeColor="text1"/>
          <w:lang w:val="en-PH"/>
        </w:rPr>
        <w:t xml:space="preserve">, M.; </w:t>
      </w:r>
      <w:proofErr w:type="spellStart"/>
      <w:r w:rsidRPr="007F70F9">
        <w:rPr>
          <w:snapToGrid/>
          <w:color w:val="000000" w:themeColor="text1"/>
          <w:lang w:val="en-PH"/>
        </w:rPr>
        <w:t>Pizzutilo</w:t>
      </w:r>
      <w:proofErr w:type="spellEnd"/>
      <w:r w:rsidRPr="007F70F9">
        <w:rPr>
          <w:snapToGrid/>
          <w:color w:val="000000" w:themeColor="text1"/>
          <w:lang w:val="en-PH"/>
        </w:rPr>
        <w:t xml:space="preserve">, E.; </w:t>
      </w:r>
      <w:proofErr w:type="spellStart"/>
      <w:r w:rsidRPr="007F70F9">
        <w:rPr>
          <w:snapToGrid/>
          <w:color w:val="000000" w:themeColor="text1"/>
          <w:lang w:val="en-PH"/>
        </w:rPr>
        <w:t>Mingers</w:t>
      </w:r>
      <w:proofErr w:type="spellEnd"/>
      <w:r w:rsidRPr="007F70F9">
        <w:rPr>
          <w:snapToGrid/>
          <w:color w:val="000000" w:themeColor="text1"/>
          <w:lang w:val="en-PH"/>
        </w:rPr>
        <w:t xml:space="preserve">, A. M.; Fu, W. T.; Diaz-Morales, O.; Li, Z.; </w:t>
      </w:r>
      <w:proofErr w:type="spellStart"/>
      <w:r w:rsidRPr="007F70F9">
        <w:rPr>
          <w:snapToGrid/>
          <w:color w:val="000000" w:themeColor="text1"/>
          <w:lang w:val="en-PH"/>
        </w:rPr>
        <w:t>Oellers</w:t>
      </w:r>
      <w:proofErr w:type="spellEnd"/>
      <w:r w:rsidRPr="007F70F9">
        <w:rPr>
          <w:snapToGrid/>
          <w:color w:val="000000" w:themeColor="text1"/>
          <w:lang w:val="en-PH"/>
        </w:rPr>
        <w:t xml:space="preserve">, T.; Fruchter, L.; Ludwig, A.; Mayrhofer, K. J. J.; Koper, M. T. M.; </w:t>
      </w:r>
      <w:proofErr w:type="spellStart"/>
      <w:r w:rsidRPr="007F70F9">
        <w:rPr>
          <w:snapToGrid/>
          <w:color w:val="000000" w:themeColor="text1"/>
          <w:lang w:val="en-PH"/>
        </w:rPr>
        <w:t>Cherevko</w:t>
      </w:r>
      <w:proofErr w:type="spellEnd"/>
      <w:r w:rsidRPr="007F70F9">
        <w:rPr>
          <w:snapToGrid/>
          <w:color w:val="000000" w:themeColor="text1"/>
          <w:lang w:val="en-PH"/>
        </w:rPr>
        <w:t xml:space="preserve">, S. The Stability Number as a Metric for Electrocatalyst Stability Benchmarking. </w:t>
      </w:r>
      <w:r w:rsidRPr="007F70F9">
        <w:rPr>
          <w:i/>
          <w:iCs/>
          <w:snapToGrid/>
          <w:color w:val="000000" w:themeColor="text1"/>
          <w:lang w:val="en-PH"/>
        </w:rPr>
        <w:t>Nature Catalysis</w:t>
      </w:r>
      <w:r w:rsidRPr="007F70F9">
        <w:rPr>
          <w:snapToGrid/>
          <w:color w:val="000000" w:themeColor="text1"/>
          <w:lang w:val="en-PH"/>
        </w:rPr>
        <w:t xml:space="preserve"> </w:t>
      </w:r>
      <w:r w:rsidRPr="007F70F9">
        <w:rPr>
          <w:b/>
          <w:bCs/>
          <w:snapToGrid/>
          <w:color w:val="000000" w:themeColor="text1"/>
          <w:lang w:val="en-PH"/>
        </w:rPr>
        <w:t>2018</w:t>
      </w:r>
      <w:r w:rsidRPr="007F70F9">
        <w:rPr>
          <w:snapToGrid/>
          <w:color w:val="000000" w:themeColor="text1"/>
          <w:lang w:val="en-PH"/>
        </w:rPr>
        <w:t xml:space="preserve">, </w:t>
      </w:r>
      <w:r w:rsidRPr="007F70F9">
        <w:rPr>
          <w:i/>
          <w:iCs/>
          <w:snapToGrid/>
          <w:color w:val="000000" w:themeColor="text1"/>
          <w:lang w:val="en-PH"/>
        </w:rPr>
        <w:t>1</w:t>
      </w:r>
      <w:r w:rsidRPr="007F70F9">
        <w:rPr>
          <w:snapToGrid/>
          <w:color w:val="000000" w:themeColor="text1"/>
          <w:lang w:val="en-PH"/>
        </w:rPr>
        <w:t xml:space="preserve"> (7), 508–515. </w:t>
      </w:r>
      <w:r w:rsidR="00BE348F" w:rsidRPr="007F70F9">
        <w:rPr>
          <w:snapToGrid/>
          <w:color w:val="000000" w:themeColor="text1"/>
          <w:lang w:val="en-PH"/>
        </w:rPr>
        <w:t>https://doi.org/10.1038/s41929-018-0085-6</w:t>
      </w:r>
      <w:r w:rsidRPr="007F70F9">
        <w:rPr>
          <w:snapToGrid/>
          <w:color w:val="000000" w:themeColor="text1"/>
          <w:lang w:val="en-PH"/>
        </w:rPr>
        <w:t>.</w:t>
      </w:r>
    </w:p>
    <w:p w14:paraId="75C24F15" w14:textId="4311B19F" w:rsidR="00BE348F" w:rsidRPr="00BE348F" w:rsidRDefault="00BE348F" w:rsidP="00BE348F">
      <w:pPr>
        <w:pStyle w:val="ListParagraph"/>
        <w:numPr>
          <w:ilvl w:val="0"/>
          <w:numId w:val="2"/>
        </w:numPr>
        <w:ind w:left="426" w:hanging="426"/>
        <w:jc w:val="both"/>
        <w:rPr>
          <w:color w:val="000000" w:themeColor="text1"/>
        </w:rPr>
      </w:pPr>
      <w:r w:rsidRPr="00AF5264">
        <w:rPr>
          <w:color w:val="000000" w:themeColor="text1"/>
        </w:rPr>
        <w:t xml:space="preserve">International Energy Agency; </w:t>
      </w:r>
      <w:r w:rsidRPr="00AF5264">
        <w:rPr>
          <w:i/>
          <w:iCs/>
          <w:color w:val="000000" w:themeColor="text1"/>
        </w:rPr>
        <w:t>The Future of Hydrogen</w:t>
      </w:r>
      <w:r w:rsidRPr="00AF5264">
        <w:rPr>
          <w:color w:val="000000" w:themeColor="text1"/>
        </w:rPr>
        <w:t xml:space="preserve"> </w:t>
      </w:r>
      <w:r w:rsidRPr="00BE348F">
        <w:rPr>
          <w:b/>
          <w:bCs/>
          <w:color w:val="000000" w:themeColor="text1"/>
        </w:rPr>
        <w:t>2019</w:t>
      </w:r>
      <w:r>
        <w:rPr>
          <w:color w:val="000000" w:themeColor="text1"/>
        </w:rPr>
        <w:t>,</w:t>
      </w:r>
      <w:r w:rsidRPr="00AF5264">
        <w:rPr>
          <w:color w:val="000000" w:themeColor="text1"/>
        </w:rPr>
        <w:t xml:space="preserve"> 32. </w:t>
      </w:r>
      <w:r w:rsidRPr="008E6699">
        <w:rPr>
          <w:color w:val="000000" w:themeColor="text1"/>
        </w:rPr>
        <w:t>https://www.iea.org/reports/the-future-of-hydrogen</w:t>
      </w:r>
      <w:r w:rsidRPr="00AF5264">
        <w:rPr>
          <w:color w:val="000000" w:themeColor="text1"/>
        </w:rPr>
        <w:t xml:space="preserve">. </w:t>
      </w:r>
    </w:p>
    <w:p w14:paraId="7B38A290" w14:textId="1A2A0C9F" w:rsidR="00AF5264" w:rsidRPr="00AF5264" w:rsidRDefault="00AF5264" w:rsidP="00AF5264">
      <w:pPr>
        <w:pStyle w:val="ListParagraph"/>
        <w:widowControl/>
        <w:numPr>
          <w:ilvl w:val="0"/>
          <w:numId w:val="2"/>
        </w:numPr>
        <w:ind w:left="426" w:hanging="426"/>
        <w:rPr>
          <w:snapToGrid/>
          <w:color w:val="000000" w:themeColor="text1"/>
          <w:lang w:val="en-PH"/>
        </w:rPr>
      </w:pPr>
      <w:r w:rsidRPr="00AF5264">
        <w:rPr>
          <w:snapToGrid/>
          <w:color w:val="000000" w:themeColor="text1"/>
          <w:lang w:val="en-PH"/>
        </w:rPr>
        <w:t xml:space="preserve">Campigotto, P.; Passerini, A.; </w:t>
      </w:r>
      <w:proofErr w:type="spellStart"/>
      <w:r w:rsidRPr="00AF5264">
        <w:rPr>
          <w:snapToGrid/>
          <w:color w:val="000000" w:themeColor="text1"/>
          <w:lang w:val="en-PH"/>
        </w:rPr>
        <w:t>Battiti</w:t>
      </w:r>
      <w:proofErr w:type="spellEnd"/>
      <w:r w:rsidRPr="00AF5264">
        <w:rPr>
          <w:snapToGrid/>
          <w:color w:val="000000" w:themeColor="text1"/>
          <w:lang w:val="en-PH"/>
        </w:rPr>
        <w:t xml:space="preserve">, R. Active Learning of Pareto Fronts. </w:t>
      </w:r>
      <w:r w:rsidRPr="00AF5264">
        <w:rPr>
          <w:i/>
          <w:iCs/>
          <w:snapToGrid/>
          <w:color w:val="000000" w:themeColor="text1"/>
          <w:lang w:val="en-PH"/>
        </w:rPr>
        <w:t>IEEE Transactions on Neural Networks and Learning Systems</w:t>
      </w:r>
      <w:r w:rsidRPr="00AF5264">
        <w:rPr>
          <w:snapToGrid/>
          <w:color w:val="000000" w:themeColor="text1"/>
          <w:lang w:val="en-PH"/>
        </w:rPr>
        <w:t xml:space="preserve"> </w:t>
      </w:r>
      <w:r w:rsidRPr="00AF5264">
        <w:rPr>
          <w:b/>
          <w:bCs/>
          <w:snapToGrid/>
          <w:color w:val="000000" w:themeColor="text1"/>
          <w:lang w:val="en-PH"/>
        </w:rPr>
        <w:t>2014</w:t>
      </w:r>
      <w:r w:rsidRPr="00AF5264">
        <w:rPr>
          <w:snapToGrid/>
          <w:color w:val="000000" w:themeColor="text1"/>
          <w:lang w:val="en-PH"/>
        </w:rPr>
        <w:t xml:space="preserve">, </w:t>
      </w:r>
      <w:r w:rsidRPr="00AF5264">
        <w:rPr>
          <w:i/>
          <w:iCs/>
          <w:snapToGrid/>
          <w:color w:val="000000" w:themeColor="text1"/>
          <w:lang w:val="en-PH"/>
        </w:rPr>
        <w:t>25</w:t>
      </w:r>
      <w:r w:rsidRPr="00AF5264">
        <w:rPr>
          <w:snapToGrid/>
          <w:color w:val="000000" w:themeColor="text1"/>
          <w:lang w:val="en-PH"/>
        </w:rPr>
        <w:t xml:space="preserve"> (3), 506–519. https://doi.org/10.1109/tnnls.2013.2275918.</w:t>
      </w:r>
    </w:p>
    <w:p w14:paraId="3DC02F02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96BD8"/>
    <w:multiLevelType w:val="hybridMultilevel"/>
    <w:tmpl w:val="0CB00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56939"/>
    <w:multiLevelType w:val="hybridMultilevel"/>
    <w:tmpl w:val="5B984AA0"/>
    <w:lvl w:ilvl="0" w:tplc="823E082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190414">
    <w:abstractNumId w:val="0"/>
  </w:num>
  <w:num w:numId="2" w16cid:durableId="1641109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04"/>
    <w:rsid w:val="0003185B"/>
    <w:rsid w:val="00041EFD"/>
    <w:rsid w:val="000647B1"/>
    <w:rsid w:val="000B4B78"/>
    <w:rsid w:val="000D6C48"/>
    <w:rsid w:val="00112C78"/>
    <w:rsid w:val="00123339"/>
    <w:rsid w:val="002356C3"/>
    <w:rsid w:val="00264678"/>
    <w:rsid w:val="002F1639"/>
    <w:rsid w:val="00325004"/>
    <w:rsid w:val="003D5692"/>
    <w:rsid w:val="00536366"/>
    <w:rsid w:val="005716CB"/>
    <w:rsid w:val="00592D3C"/>
    <w:rsid w:val="00640F8F"/>
    <w:rsid w:val="00662CDF"/>
    <w:rsid w:val="00685C1A"/>
    <w:rsid w:val="0069207C"/>
    <w:rsid w:val="006C7BFE"/>
    <w:rsid w:val="006D7D0C"/>
    <w:rsid w:val="007F70F9"/>
    <w:rsid w:val="00817C08"/>
    <w:rsid w:val="00826BC6"/>
    <w:rsid w:val="008737BD"/>
    <w:rsid w:val="008E6699"/>
    <w:rsid w:val="00932099"/>
    <w:rsid w:val="00A142A9"/>
    <w:rsid w:val="00AA1D76"/>
    <w:rsid w:val="00AF5264"/>
    <w:rsid w:val="00B222EA"/>
    <w:rsid w:val="00B53D35"/>
    <w:rsid w:val="00BC389B"/>
    <w:rsid w:val="00BE348F"/>
    <w:rsid w:val="00CE0E62"/>
    <w:rsid w:val="00D9648A"/>
    <w:rsid w:val="00DD332A"/>
    <w:rsid w:val="00E0716D"/>
    <w:rsid w:val="00E24097"/>
    <w:rsid w:val="00E4094E"/>
    <w:rsid w:val="00E50C3A"/>
    <w:rsid w:val="00E7306F"/>
    <w:rsid w:val="00EB0949"/>
    <w:rsid w:val="00EF494D"/>
    <w:rsid w:val="00F97641"/>
    <w:rsid w:val="00FE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3560F7"/>
  <w14:defaultImageDpi w14:val="300"/>
  <w15:docId w15:val="{B8818CBC-EC7E-9B4E-849D-38C5F9D2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7BFE"/>
    <w:pPr>
      <w:ind w:left="720"/>
      <w:contextualSpacing/>
    </w:pPr>
  </w:style>
  <w:style w:type="paragraph" w:customStyle="1" w:styleId="Default">
    <w:name w:val="Default"/>
    <w:rsid w:val="00EB094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09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094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B0949"/>
    <w:pPr>
      <w:widowControl/>
      <w:spacing w:before="100" w:beforeAutospacing="1" w:after="100" w:afterAutospacing="1"/>
    </w:pPr>
    <w:rPr>
      <w:snapToGrid/>
      <w:sz w:val="24"/>
      <w:szCs w:val="24"/>
      <w:lang w:val="en-PH"/>
    </w:rPr>
  </w:style>
  <w:style w:type="character" w:styleId="CommentReference">
    <w:name w:val="annotation reference"/>
    <w:basedOn w:val="DefaultParagraphFont"/>
    <w:uiPriority w:val="99"/>
    <w:semiHidden/>
    <w:unhideWhenUsed/>
    <w:rsid w:val="00932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20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2099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099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20EAAC-F593-D44D-82AE-BBCB43CD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dc:description/>
  <cp:lastModifiedBy>Jan Goran Tavera Tomacruz</cp:lastModifiedBy>
  <cp:revision>5</cp:revision>
  <cp:lastPrinted>2013-10-21T12:07:00Z</cp:lastPrinted>
  <dcterms:created xsi:type="dcterms:W3CDTF">2026-06-01T13:34:00Z</dcterms:created>
  <dcterms:modified xsi:type="dcterms:W3CDTF">2026-06-01T13:38:00Z</dcterms:modified>
</cp:coreProperties>
</file>