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26F1" w14:textId="77777777" w:rsidR="00F8681D" w:rsidRPr="00A86EB9" w:rsidRDefault="00F8681D" w:rsidP="00F8681D">
      <w:pPr>
        <w:jc w:val="center"/>
        <w:rPr>
          <w:b/>
          <w:sz w:val="28"/>
        </w:rPr>
      </w:pPr>
      <w:r w:rsidRPr="00AF521D">
        <w:rPr>
          <w:b/>
          <w:sz w:val="28"/>
        </w:rPr>
        <w:t>THz-TDS for in-situ and operando study of the carrier dynamics</w:t>
      </w:r>
      <w:r>
        <w:rPr>
          <w:b/>
          <w:sz w:val="28"/>
        </w:rPr>
        <w:t xml:space="preserve"> of electrochemical reactions</w:t>
      </w:r>
    </w:p>
    <w:p w14:paraId="19FE997C" w14:textId="77777777" w:rsidR="00F8681D" w:rsidRPr="00A86EB9" w:rsidRDefault="00F8681D" w:rsidP="00B528AB">
      <w:pPr>
        <w:rPr>
          <w:b/>
          <w:sz w:val="28"/>
        </w:rPr>
      </w:pPr>
    </w:p>
    <w:p w14:paraId="5752EAC9" w14:textId="1128BFF9" w:rsidR="00F8681D" w:rsidRPr="00350125" w:rsidRDefault="00F8681D" w:rsidP="00F8681D">
      <w:pPr>
        <w:jc w:val="center"/>
        <w:rPr>
          <w:vertAlign w:val="superscript"/>
          <w:lang w:val="es-ES"/>
        </w:rPr>
      </w:pPr>
      <w:r w:rsidRPr="00350125">
        <w:rPr>
          <w:u w:val="single"/>
          <w:lang w:val="es-ES"/>
        </w:rPr>
        <w:t>Bram J. Heijnen</w:t>
      </w:r>
      <w:r w:rsidRPr="00350125">
        <w:rPr>
          <w:u w:val="single"/>
          <w:vertAlign w:val="superscript"/>
          <w:lang w:val="es-ES"/>
        </w:rPr>
        <w:t>1</w:t>
      </w:r>
      <w:r w:rsidRPr="00350125">
        <w:rPr>
          <w:lang w:val="es-ES"/>
        </w:rPr>
        <w:t xml:space="preserve">, </w:t>
      </w:r>
      <w:r w:rsidR="00350125" w:rsidRPr="00350125">
        <w:t xml:space="preserve">Sina </w:t>
      </w:r>
      <w:proofErr w:type="spellStart"/>
      <w:r w:rsidR="00350125" w:rsidRPr="00350125">
        <w:t>Haghverdi</w:t>
      </w:r>
      <w:proofErr w:type="spellEnd"/>
      <w:r w:rsidR="00350125" w:rsidRPr="00350125">
        <w:t xml:space="preserve"> Khamene</w:t>
      </w:r>
      <w:r w:rsidR="00350125">
        <w:rPr>
          <w:vertAlign w:val="superscript"/>
        </w:rPr>
        <w:t>1,2</w:t>
      </w:r>
      <w:r w:rsidRPr="00350125">
        <w:rPr>
          <w:lang w:val="es-ES"/>
        </w:rPr>
        <w:t xml:space="preserve">, </w:t>
      </w:r>
      <w:proofErr w:type="spellStart"/>
      <w:r w:rsidRPr="00350125">
        <w:rPr>
          <w:lang w:val="es-ES"/>
        </w:rPr>
        <w:t>Mariadriana</w:t>
      </w:r>
      <w:proofErr w:type="spellEnd"/>
      <w:r w:rsidRPr="00350125">
        <w:rPr>
          <w:lang w:val="es-ES"/>
        </w:rPr>
        <w:t xml:space="preserve"> Creatore</w:t>
      </w:r>
      <w:r w:rsidRPr="00350125">
        <w:rPr>
          <w:vertAlign w:val="superscript"/>
          <w:lang w:val="es-ES"/>
        </w:rPr>
        <w:t>1,</w:t>
      </w:r>
      <w:r w:rsidR="00350125">
        <w:rPr>
          <w:vertAlign w:val="superscript"/>
          <w:lang w:val="es-ES"/>
        </w:rPr>
        <w:t>3</w:t>
      </w:r>
      <w:r w:rsidRPr="00350125">
        <w:rPr>
          <w:lang w:val="es-ES"/>
        </w:rPr>
        <w:t>, Ja</w:t>
      </w:r>
      <w:r w:rsidR="008F7573">
        <w:rPr>
          <w:lang w:val="es-ES"/>
        </w:rPr>
        <w:t>i</w:t>
      </w:r>
      <w:r w:rsidRPr="00350125">
        <w:rPr>
          <w:lang w:val="es-ES"/>
        </w:rPr>
        <w:t>me Gómez Rivas</w:t>
      </w:r>
      <w:r w:rsidRPr="00350125">
        <w:rPr>
          <w:vertAlign w:val="superscript"/>
          <w:lang w:val="es-ES"/>
        </w:rPr>
        <w:t>1</w:t>
      </w:r>
    </w:p>
    <w:p w14:paraId="2305F877" w14:textId="77777777" w:rsidR="00F8681D" w:rsidRPr="00AF521D" w:rsidRDefault="00F8681D" w:rsidP="00F8681D">
      <w:pPr>
        <w:jc w:val="center"/>
        <w:rPr>
          <w:i/>
        </w:rPr>
      </w:pPr>
      <w:r>
        <w:rPr>
          <w:i/>
          <w:vertAlign w:val="superscript"/>
        </w:rPr>
        <w:t>1</w:t>
      </w:r>
      <w:r w:rsidRPr="00AF521D">
        <w:rPr>
          <w:i/>
        </w:rPr>
        <w:t>Department of Applied Physics and Science Education, Eindhoven University of Technology,</w:t>
      </w:r>
    </w:p>
    <w:p w14:paraId="37199FBC" w14:textId="77777777" w:rsidR="00F8681D" w:rsidRDefault="00F8681D" w:rsidP="00F8681D">
      <w:pPr>
        <w:jc w:val="center"/>
        <w:rPr>
          <w:i/>
        </w:rPr>
      </w:pPr>
      <w:r w:rsidRPr="00AF521D">
        <w:rPr>
          <w:i/>
        </w:rPr>
        <w:t>5600 MB Eindhoven, The Netherlands</w:t>
      </w:r>
    </w:p>
    <w:p w14:paraId="0B01CA3B" w14:textId="527D83D5" w:rsidR="00350125" w:rsidRDefault="00350125" w:rsidP="00F8681D">
      <w:pPr>
        <w:jc w:val="center"/>
        <w:rPr>
          <w:i/>
        </w:rPr>
      </w:pPr>
      <w:r>
        <w:rPr>
          <w:i/>
          <w:vertAlign w:val="superscript"/>
        </w:rPr>
        <w:t>2</w:t>
      </w:r>
      <w:r w:rsidRPr="00350125">
        <w:rPr>
          <w:i/>
        </w:rPr>
        <w:t>DIFFER - Dutch Institute For Fundamental Energy Research, 5612 AJ Eindhoven, the Netherlands</w:t>
      </w:r>
    </w:p>
    <w:p w14:paraId="6D11B31B" w14:textId="5F0C2451" w:rsidR="00F8681D" w:rsidRPr="00A86EB9" w:rsidRDefault="00350125" w:rsidP="00350125">
      <w:pPr>
        <w:rPr>
          <w:i/>
        </w:rPr>
      </w:pPr>
      <w:r>
        <w:rPr>
          <w:i/>
          <w:vertAlign w:val="superscript"/>
        </w:rPr>
        <w:t>3</w:t>
      </w:r>
      <w:r w:rsidR="00F8681D" w:rsidRPr="00AF521D">
        <w:rPr>
          <w:i/>
        </w:rPr>
        <w:t>Eindhoven Institute for Renewable Energy Systems (EIRES), 5600 MB Eindhoven, the Netherlands</w:t>
      </w:r>
    </w:p>
    <w:p w14:paraId="5B10FB68" w14:textId="77777777" w:rsidR="00F8681D" w:rsidRPr="00685C1A" w:rsidRDefault="00F8681D" w:rsidP="00F8681D">
      <w:pPr>
        <w:jc w:val="center"/>
        <w:rPr>
          <w:i/>
        </w:rPr>
      </w:pPr>
      <w:r>
        <w:rPr>
          <w:i/>
        </w:rPr>
        <w:t>b.j.heijnen@tue.nl</w:t>
      </w:r>
    </w:p>
    <w:p w14:paraId="61584E99" w14:textId="77777777" w:rsidR="00F8681D" w:rsidRDefault="00F8681D" w:rsidP="00F8681D">
      <w:pPr>
        <w:widowControl/>
        <w:jc w:val="both"/>
      </w:pPr>
    </w:p>
    <w:p w14:paraId="1EBABD1D" w14:textId="785DCA13" w:rsidR="00F8681D" w:rsidRPr="00F8681D" w:rsidRDefault="00F8681D" w:rsidP="00F203E9">
      <w:pPr>
        <w:widowControl/>
        <w:ind w:firstLine="720"/>
        <w:jc w:val="both"/>
      </w:pPr>
      <w:r w:rsidRPr="00F8681D">
        <w:t xml:space="preserve">Hydrogen (H₂) is a key </w:t>
      </w:r>
      <w:r w:rsidR="00C33898">
        <w:t>component</w:t>
      </w:r>
      <w:r w:rsidRPr="00F8681D">
        <w:t xml:space="preserve"> for the transition toward sustainable energy </w:t>
      </w:r>
      <w:r w:rsidR="00C33898">
        <w:t>supply,</w:t>
      </w:r>
      <w:r w:rsidRPr="00F8681D">
        <w:t xml:space="preserve"> </w:t>
      </w:r>
      <w:r w:rsidR="00C33898">
        <w:t>especially</w:t>
      </w:r>
      <w:r w:rsidRPr="00F8681D">
        <w:t xml:space="preserve"> for large-scale storage of wind and solar energy. </w:t>
      </w:r>
      <w:r w:rsidR="00C33898">
        <w:t>Hydrogen is produce</w:t>
      </w:r>
      <w:r w:rsidR="001E0D61">
        <w:t>d</w:t>
      </w:r>
      <w:r w:rsidR="00C33898">
        <w:t xml:space="preserve"> through the electrolysis of water</w:t>
      </w:r>
      <w:r w:rsidRPr="00F8681D">
        <w:t>, an electrochemical process that splits water into hydrogen and oxygen. Spectroelectrochemistry (SEC)</w:t>
      </w:r>
      <w:r w:rsidR="000A5F9B">
        <w:t xml:space="preserve"> </w:t>
      </w:r>
      <w:r w:rsidRPr="00F8681D">
        <w:t>combines</w:t>
      </w:r>
      <w:r w:rsidR="00061C33">
        <w:t xml:space="preserve"> the field of</w:t>
      </w:r>
      <w:r w:rsidRPr="00F8681D">
        <w:t xml:space="preserve"> electrochemi</w:t>
      </w:r>
      <w:r w:rsidR="00061C33">
        <w:t>stry</w:t>
      </w:r>
      <w:r w:rsidRPr="00F8681D">
        <w:t xml:space="preserve"> and spectroscopic techniques</w:t>
      </w:r>
      <w:r w:rsidR="000A5F9B">
        <w:t xml:space="preserve"> to</w:t>
      </w:r>
      <w:r w:rsidRPr="00F8681D">
        <w:t xml:space="preserve"> enable operando investigation of such processes. </w:t>
      </w:r>
      <w:r w:rsidR="00C33898" w:rsidRPr="00C33898">
        <w:t>A</w:t>
      </w:r>
      <w:r w:rsidR="00C33898">
        <w:t xml:space="preserve"> </w:t>
      </w:r>
      <w:r w:rsidR="00C33898" w:rsidRPr="00C33898">
        <w:t>spectroscopic technique that is hardly being investigated in SEC is</w:t>
      </w:r>
      <w:r w:rsidR="00C33898">
        <w:t xml:space="preserve"> </w:t>
      </w:r>
      <w:r w:rsidR="00C33898" w:rsidRPr="00C33898">
        <w:t>terahertz time-domain spectroscopy (THz-TDS)</w:t>
      </w:r>
      <w:r w:rsidR="00570A33">
        <w:t xml:space="preserve"> [1]</w:t>
      </w:r>
      <w:r w:rsidR="00C33898" w:rsidRPr="00C33898">
        <w:t>, despite its</w:t>
      </w:r>
      <w:r w:rsidR="00C33898">
        <w:t xml:space="preserve"> </w:t>
      </w:r>
      <w:r w:rsidR="00C33898" w:rsidRPr="00C33898">
        <w:t xml:space="preserve">extended use as a non-contact probe to study </w:t>
      </w:r>
      <w:r w:rsidR="000A5F9B">
        <w:t>the</w:t>
      </w:r>
      <w:r w:rsidR="00C33898" w:rsidRPr="00C33898">
        <w:t xml:space="preserve"> carrier dynamics</w:t>
      </w:r>
      <w:r w:rsidR="00C33898">
        <w:t xml:space="preserve"> </w:t>
      </w:r>
      <w:r w:rsidR="00C33898" w:rsidRPr="00C33898">
        <w:t>in thin films.</w:t>
      </w:r>
      <w:r w:rsidR="00FB670F">
        <w:t xml:space="preserve"> </w:t>
      </w:r>
      <w:r w:rsidR="00FB670F" w:rsidRPr="00FB670F">
        <w:t>THz-TDS is a</w:t>
      </w:r>
      <w:r w:rsidR="00FB670F">
        <w:t xml:space="preserve"> </w:t>
      </w:r>
      <w:r w:rsidR="00FB670F" w:rsidRPr="00FB670F">
        <w:t>measuring technique that utilizes THz pulses to detect its</w:t>
      </w:r>
      <w:r w:rsidR="00FB670F">
        <w:t xml:space="preserve"> </w:t>
      </w:r>
      <w:r w:rsidR="00FB670F" w:rsidRPr="00FB670F">
        <w:t>interactions with samples in both amplitude and phase</w:t>
      </w:r>
      <w:r w:rsidR="00FB670F">
        <w:t xml:space="preserve"> </w:t>
      </w:r>
      <w:r w:rsidR="00FB670F" w:rsidRPr="00FB670F">
        <w:t>[</w:t>
      </w:r>
      <w:r w:rsidR="00570A33">
        <w:t>2</w:t>
      </w:r>
      <w:r w:rsidR="00FB670F" w:rsidRPr="00FB670F">
        <w:t>].</w:t>
      </w:r>
      <w:r w:rsidR="001F3705">
        <w:t xml:space="preserve"> </w:t>
      </w:r>
      <w:r w:rsidR="001F3705" w:rsidRPr="001F3705">
        <w:t>The absence of THz-TDS in SEC can be explained by the</w:t>
      </w:r>
      <w:r w:rsidR="001F3705">
        <w:t xml:space="preserve"> </w:t>
      </w:r>
      <w:r w:rsidR="001F3705" w:rsidRPr="001F3705">
        <w:t>difficulty of designing a THz-transparent electrochemical cell,</w:t>
      </w:r>
      <w:r w:rsidR="001F3705">
        <w:t xml:space="preserve"> </w:t>
      </w:r>
      <w:r w:rsidR="001F3705" w:rsidRPr="001F3705">
        <w:t>as THz radiation gets absorbed by water and conductive</w:t>
      </w:r>
      <w:r w:rsidR="001F3705">
        <w:t xml:space="preserve"> </w:t>
      </w:r>
      <w:r w:rsidR="001F3705" w:rsidRPr="001F3705">
        <w:t>materials. In their pioneering work on THz SEC, C.T. Nemes</w:t>
      </w:r>
      <w:r w:rsidR="001F3705">
        <w:t xml:space="preserve"> </w:t>
      </w:r>
      <w:r w:rsidR="001F3705" w:rsidRPr="001F3705">
        <w:rPr>
          <w:i/>
          <w:iCs/>
        </w:rPr>
        <w:t>et al.</w:t>
      </w:r>
      <w:r w:rsidR="001F3705" w:rsidRPr="001F3705">
        <w:t xml:space="preserve"> designed a THz-transparent cell and showed the first</w:t>
      </w:r>
      <w:r w:rsidR="001F3705">
        <w:t xml:space="preserve"> </w:t>
      </w:r>
      <w:r w:rsidR="001F3705" w:rsidRPr="001F3705">
        <w:t>results of measuring the THz transmission through this cell</w:t>
      </w:r>
      <w:r w:rsidR="00B97830">
        <w:t xml:space="preserve"> </w:t>
      </w:r>
      <w:r w:rsidR="001F3705" w:rsidRPr="001F3705">
        <w:t>during an electrochemical process [</w:t>
      </w:r>
      <w:r w:rsidR="00570A33">
        <w:t>3</w:t>
      </w:r>
      <w:r w:rsidR="001F3705" w:rsidRPr="001F3705">
        <w:t>].</w:t>
      </w:r>
    </w:p>
    <w:p w14:paraId="0129EACE" w14:textId="77380108" w:rsidR="00B97830" w:rsidRDefault="00F8681D" w:rsidP="001F3705">
      <w:pPr>
        <w:widowControl/>
        <w:ind w:firstLine="720"/>
        <w:jc w:val="both"/>
      </w:pPr>
      <w:r w:rsidRPr="00F8681D">
        <w:t>In this work, THz-TDS is investigated as a tool for monitoring carrier dynamics during water electrolysis. A</w:t>
      </w:r>
      <w:r w:rsidR="00FB670F">
        <w:t>n</w:t>
      </w:r>
      <w:r w:rsidRPr="00F8681D">
        <w:t xml:space="preserve"> electrochemical cell was designed to allow simultaneous THz-TDS and cyclic voltammetry (CV) measurements</w:t>
      </w:r>
      <w:r w:rsidR="002430FD">
        <w:t>.</w:t>
      </w:r>
      <w:r w:rsidR="00D248E8">
        <w:t xml:space="preserve"> This cell is designed</w:t>
      </w:r>
      <w:r w:rsidR="00022682">
        <w:t xml:space="preserve"> to measure the reflected </w:t>
      </w:r>
      <w:r w:rsidR="00287F9C">
        <w:t>pulse from the electrolyte</w:t>
      </w:r>
      <w:r w:rsidR="00420E13">
        <w:t>-</w:t>
      </w:r>
      <w:r w:rsidR="00287F9C">
        <w:t>working electrode</w:t>
      </w:r>
      <w:r w:rsidR="00420E13">
        <w:t xml:space="preserve"> interface.</w:t>
      </w:r>
      <w:r w:rsidR="00603AAE">
        <w:t xml:space="preserve"> As THz radiation is </w:t>
      </w:r>
      <w:r w:rsidR="00320903">
        <w:t>absorbed</w:t>
      </w:r>
      <w:r w:rsidR="00EF25F4">
        <w:t xml:space="preserve"> by wa</w:t>
      </w:r>
      <w:r w:rsidR="00B50B51">
        <w:t>ter (</w:t>
      </w:r>
      <w:r w:rsidR="00B430C1">
        <w:t>the main component of the electrolyte</w:t>
      </w:r>
      <w:r w:rsidR="00B50B51">
        <w:t>)</w:t>
      </w:r>
      <w:r w:rsidR="00B430C1">
        <w:t xml:space="preserve">, the cell is designed such that </w:t>
      </w:r>
      <w:r w:rsidR="00F847DF">
        <w:t>thickness of the electrolyte layer is kept at about 100 micron.</w:t>
      </w:r>
      <w:r w:rsidR="00FB670F">
        <w:t xml:space="preserve"> </w:t>
      </w:r>
      <w:r w:rsidRPr="00F8681D">
        <w:t>The working electrode</w:t>
      </w:r>
      <w:r w:rsidR="00FB670F">
        <w:t xml:space="preserve"> of this cell</w:t>
      </w:r>
      <w:r w:rsidRPr="00F8681D">
        <w:t xml:space="preserve"> </w:t>
      </w:r>
      <w:r w:rsidR="00FB670F">
        <w:t>is a</w:t>
      </w:r>
      <w:r w:rsidRPr="00F8681D">
        <w:t xml:space="preserve"> </w:t>
      </w:r>
      <w:r w:rsidR="00FB670F">
        <w:t>fluorine</w:t>
      </w:r>
      <w:r w:rsidRPr="00F8681D">
        <w:t xml:space="preserve"> tin oxide (</w:t>
      </w:r>
      <w:r w:rsidR="00FB670F">
        <w:t>F</w:t>
      </w:r>
      <w:r w:rsidRPr="00F8681D">
        <w:t>TO)</w:t>
      </w:r>
      <w:r w:rsidR="00FB670F">
        <w:t xml:space="preserve"> substrate</w:t>
      </w:r>
      <w:r w:rsidRPr="00F8681D">
        <w:t xml:space="preserve"> coated with a thin nickel oxide (NiO) electrocatalyst layer deposited by plasma-assisted atomic layer deposition</w:t>
      </w:r>
      <w:r w:rsidR="00AB5FBD">
        <w:t xml:space="preserve"> [</w:t>
      </w:r>
      <w:r w:rsidR="00570A33">
        <w:t>4</w:t>
      </w:r>
      <w:r w:rsidR="00AB5FBD">
        <w:t>]</w:t>
      </w:r>
      <w:r w:rsidRPr="00F8681D">
        <w:t>.</w:t>
      </w:r>
      <w:r w:rsidR="001F3705">
        <w:t xml:space="preserve"> </w:t>
      </w:r>
      <w:r w:rsidRPr="00F8681D">
        <w:t>The CV measurements revealed activation of the NiO electrocatalyst through the appearance of characteristic non-catalytic waves.</w:t>
      </w:r>
      <w:r w:rsidR="009342C3">
        <w:t xml:space="preserve"> </w:t>
      </w:r>
      <w:r w:rsidR="00896D0A">
        <w:t xml:space="preserve">By calculating the area under this non-catalytic </w:t>
      </w:r>
      <w:r w:rsidR="00510DB9">
        <w:t>wave</w:t>
      </w:r>
      <w:r w:rsidR="00367C25">
        <w:t>, the overall dynamics of the oxidation and reduction can be studied</w:t>
      </w:r>
      <w:r w:rsidR="00130915">
        <w:t>.</w:t>
      </w:r>
      <w:r w:rsidRPr="00F8681D">
        <w:t xml:space="preserve"> </w:t>
      </w:r>
      <w:r w:rsidR="0042598F">
        <w:t>Simultaneously, the reflected THz pulses from the electrochemical cell are measured with the THz-TDS setup.</w:t>
      </w:r>
      <w:r w:rsidR="00EF32E5">
        <w:t xml:space="preserve"> From the reflected THz pulses, the THz reflection spectra are obtained. These spectra</w:t>
      </w:r>
      <w:r w:rsidR="004E4641">
        <w:t xml:space="preserve"> can be fitted with the transfer matrix method and Drude model </w:t>
      </w:r>
      <w:r w:rsidR="005F79F5">
        <w:t>i</w:t>
      </w:r>
      <w:r w:rsidR="004E4641">
        <w:t xml:space="preserve">n order to obtain the </w:t>
      </w:r>
      <w:r w:rsidR="009342C3">
        <w:t>carrier mobility of the working electrode</w:t>
      </w:r>
      <w:r w:rsidR="00730424">
        <w:t>.</w:t>
      </w:r>
      <w:r w:rsidR="00F203E9">
        <w:t xml:space="preserve"> </w:t>
      </w:r>
      <w:r w:rsidR="0087021F">
        <w:t>C</w:t>
      </w:r>
      <w:r w:rsidR="00F203E9">
        <w:t xml:space="preserve">omparing the mobility of the </w:t>
      </w:r>
      <w:r w:rsidR="00966689">
        <w:t xml:space="preserve">working electrode to the </w:t>
      </w:r>
      <w:r w:rsidR="005B4D26">
        <w:t>dynamics of the oxidation and reduction of the NiO electrocatalyst</w:t>
      </w:r>
      <w:r w:rsidR="0087021F">
        <w:t xml:space="preserve"> shows</w:t>
      </w:r>
      <w:r w:rsidR="00F3249C">
        <w:t xml:space="preserve"> </w:t>
      </w:r>
      <w:r w:rsidR="00BC3968">
        <w:t xml:space="preserve">an inverse relation between the </w:t>
      </w:r>
      <w:r w:rsidR="001572ED">
        <w:t>oxidation and reduction of Ni</w:t>
      </w:r>
      <w:r w:rsidR="007667F2">
        <w:t xml:space="preserve">O and the mobility of the FTO working electrode. </w:t>
      </w:r>
      <w:r w:rsidR="0070305F">
        <w:t>Furthermore</w:t>
      </w:r>
      <w:r w:rsidR="00324A3B">
        <w:t xml:space="preserve">, </w:t>
      </w:r>
      <w:r w:rsidR="002551AB" w:rsidRPr="008423D5">
        <w:t xml:space="preserve">both electrochemical activity and mobility </w:t>
      </w:r>
      <w:r w:rsidR="002551AB">
        <w:t>show</w:t>
      </w:r>
      <w:r w:rsidR="002551AB" w:rsidRPr="008423D5">
        <w:t xml:space="preserve"> a change in rate after approximately 100 minutes, suggesting that </w:t>
      </w:r>
      <w:r w:rsidR="0070305F">
        <w:t>a decrease in</w:t>
      </w:r>
      <w:r w:rsidR="002551AB" w:rsidRPr="008423D5">
        <w:t xml:space="preserve"> carrier mobility contributes to the slowing electrochemical dynamics</w:t>
      </w:r>
      <w:r w:rsidR="00AD53D7">
        <w:t>.</w:t>
      </w:r>
    </w:p>
    <w:p w14:paraId="5EFBA115" w14:textId="278FEAB6" w:rsidR="00F8681D" w:rsidRPr="00F8681D" w:rsidRDefault="00F8681D" w:rsidP="00086DA3">
      <w:pPr>
        <w:widowControl/>
        <w:ind w:firstLine="720"/>
        <w:jc w:val="both"/>
      </w:pPr>
      <w:r w:rsidRPr="00F8681D">
        <w:t>These results demonstrate that THz-TDS can provide valuable in-operando insight into charge carrier dynamics during electrochemical reactions.</w:t>
      </w:r>
      <w:r w:rsidR="00B33F8F">
        <w:t xml:space="preserve"> </w:t>
      </w:r>
      <w:r w:rsidR="00B33F8F" w:rsidRPr="00086DA3">
        <w:t>Changes in the</w:t>
      </w:r>
      <w:r w:rsidR="00B33F8F">
        <w:t xml:space="preserve"> </w:t>
      </w:r>
      <w:r w:rsidR="00B33F8F" w:rsidRPr="00086DA3">
        <w:t>mobility</w:t>
      </w:r>
      <w:r w:rsidR="00570A33">
        <w:t xml:space="preserve"> of the working electrode can be</w:t>
      </w:r>
      <w:r w:rsidR="00B33F8F" w:rsidRPr="00086DA3">
        <w:t xml:space="preserve"> measured with THz</w:t>
      </w:r>
      <w:r w:rsidR="00570A33">
        <w:t xml:space="preserve"> radiation</w:t>
      </w:r>
      <w:r w:rsidR="00B33F8F" w:rsidRPr="00086DA3">
        <w:t xml:space="preserve"> during CV</w:t>
      </w:r>
      <w:r w:rsidR="00B33F8F">
        <w:t xml:space="preserve"> </w:t>
      </w:r>
      <w:r w:rsidR="00B33F8F" w:rsidRPr="00086DA3">
        <w:t>measurements</w:t>
      </w:r>
      <w:r w:rsidR="00570A33">
        <w:t xml:space="preserve"> are correlated to</w:t>
      </w:r>
      <w:r w:rsidR="00B33F8F">
        <w:t xml:space="preserve"> the area under the non-catalytic wave. </w:t>
      </w:r>
      <w:r w:rsidRPr="00F8681D">
        <w:t xml:space="preserve"> </w:t>
      </w:r>
    </w:p>
    <w:p w14:paraId="64EA361D" w14:textId="77777777" w:rsidR="00A37AB9" w:rsidRDefault="00A37AB9" w:rsidP="00CC3617">
      <w:pPr>
        <w:widowControl/>
      </w:pPr>
    </w:p>
    <w:p w14:paraId="4B16D90C" w14:textId="77777777" w:rsidR="00114B13" w:rsidRDefault="00114B13" w:rsidP="00CC3617">
      <w:pPr>
        <w:widowControl/>
      </w:pPr>
    </w:p>
    <w:p w14:paraId="559AABEC" w14:textId="77777777" w:rsidR="00114B13" w:rsidRDefault="00114B13" w:rsidP="00CC3617">
      <w:pPr>
        <w:widowControl/>
      </w:pPr>
    </w:p>
    <w:p w14:paraId="0567B63A" w14:textId="0E447766" w:rsidR="00114B13" w:rsidRPr="00570A33" w:rsidRDefault="00570A33" w:rsidP="00CC3617">
      <w:pPr>
        <w:widowControl/>
      </w:pPr>
      <w:r>
        <w:t>[1]</w:t>
      </w:r>
      <w:r w:rsidR="00D201D2">
        <w:t xml:space="preserve"> </w:t>
      </w:r>
      <w:r w:rsidR="00801282" w:rsidRPr="00801282">
        <w:t>B. J. Heijnen, S. H. Khamene, M. Creatore and J. G</w:t>
      </w:r>
      <w:r w:rsidR="00801282">
        <w:t>ómez</w:t>
      </w:r>
      <w:r w:rsidR="00801282" w:rsidRPr="00801282">
        <w:t xml:space="preserve"> Rivas, "Real-time monitoring of electrochemical reactions by THz-TDS," </w:t>
      </w:r>
      <w:r w:rsidR="00801282" w:rsidRPr="00801282">
        <w:rPr>
          <w:i/>
          <w:iCs/>
        </w:rPr>
        <w:t>2025 50th International Conference on Infrared, Millimeter, and Terahertz Waves (IRMMW-THz)</w:t>
      </w:r>
      <w:r w:rsidR="00801282" w:rsidRPr="00801282">
        <w:t xml:space="preserve">, Helsinki, Finland, 2025, pp. 1-2, </w:t>
      </w:r>
      <w:proofErr w:type="spellStart"/>
      <w:r w:rsidR="00801282" w:rsidRPr="00801282">
        <w:t>doi</w:t>
      </w:r>
      <w:proofErr w:type="spellEnd"/>
      <w:r w:rsidR="00801282" w:rsidRPr="00801282">
        <w:t>: 10.1109/IRMMW-THz61557.2025.11319674.</w:t>
      </w:r>
    </w:p>
    <w:p w14:paraId="2070F8BE" w14:textId="41D6BDB4" w:rsidR="00325004" w:rsidRDefault="00B05A21" w:rsidP="00CC3617">
      <w:pPr>
        <w:widowControl/>
      </w:pPr>
      <w:r>
        <w:t>[</w:t>
      </w:r>
      <w:r w:rsidR="00570A33">
        <w:t>2</w:t>
      </w:r>
      <w:r>
        <w:t xml:space="preserve">] </w:t>
      </w:r>
      <w:r w:rsidRPr="00B05A21">
        <w:t xml:space="preserve">P. U. Jepsen, D. G. Cooke, and M. Koch, “Terahertz spectroscopy and imaging – Modern techniques and applications,” </w:t>
      </w:r>
      <w:r w:rsidRPr="00811B08">
        <w:rPr>
          <w:i/>
          <w:iCs/>
        </w:rPr>
        <w:t>Laser &amp; Photonics Review</w:t>
      </w:r>
      <w:r w:rsidRPr="00B05A21">
        <w:t>, vol. 5, no. 1, pp. 124–166, Oct. 2010</w:t>
      </w:r>
    </w:p>
    <w:p w14:paraId="58B9B62D" w14:textId="77B693B2" w:rsidR="00B05A21" w:rsidRDefault="00B05A21" w:rsidP="00CC3617">
      <w:pPr>
        <w:widowControl/>
      </w:pPr>
      <w:r>
        <w:t>[</w:t>
      </w:r>
      <w:r w:rsidR="00570A33">
        <w:t>3</w:t>
      </w:r>
      <w:r>
        <w:t>]</w:t>
      </w:r>
      <w:r w:rsidR="00AD7D27">
        <w:t xml:space="preserve"> </w:t>
      </w:r>
      <w:r w:rsidR="00AD7D27" w:rsidRPr="00AD7D27">
        <w:t xml:space="preserve">C. T. Nemes, J. R. Swierk, and C. A. </w:t>
      </w:r>
      <w:proofErr w:type="spellStart"/>
      <w:r w:rsidR="00AD7D27" w:rsidRPr="00AD7D27">
        <w:t>Schmuttenmaer</w:t>
      </w:r>
      <w:proofErr w:type="spellEnd"/>
      <w:r w:rsidR="00AD7D27" w:rsidRPr="00AD7D27">
        <w:t xml:space="preserve">, “A </w:t>
      </w:r>
      <w:r w:rsidR="00AD7D27">
        <w:t>t</w:t>
      </w:r>
      <w:r w:rsidR="00AD7D27" w:rsidRPr="00AD7D27">
        <w:t>erahertz</w:t>
      </w:r>
      <w:r w:rsidR="00AD7D27">
        <w:t xml:space="preserve"> t</w:t>
      </w:r>
      <w:r w:rsidR="00AD7D27" w:rsidRPr="00AD7D27">
        <w:t xml:space="preserve">ransparent electrochemical cell for in situ terahertz </w:t>
      </w:r>
      <w:proofErr w:type="spellStart"/>
      <w:r w:rsidR="00AD7D27" w:rsidRPr="00AD7D27">
        <w:t>spectroelectrochemistry</w:t>
      </w:r>
      <w:proofErr w:type="spellEnd"/>
      <w:r w:rsidR="00AD7D27" w:rsidRPr="00AD7D27">
        <w:t xml:space="preserve">,” </w:t>
      </w:r>
      <w:r w:rsidR="00AD7D27" w:rsidRPr="00811B08">
        <w:rPr>
          <w:i/>
          <w:iCs/>
        </w:rPr>
        <w:t>Analytical Chemistry</w:t>
      </w:r>
      <w:r w:rsidR="00AD7D27" w:rsidRPr="00AD7D27">
        <w:t>, vol. 90, no. 7, pp. 4389–4396, Mar. 2018</w:t>
      </w:r>
    </w:p>
    <w:p w14:paraId="2AE3028B" w14:textId="00CDAA92" w:rsidR="00AD7D27" w:rsidRPr="00CC3617" w:rsidRDefault="00AD7D27" w:rsidP="00CC3617">
      <w:pPr>
        <w:widowControl/>
      </w:pPr>
      <w:r>
        <w:t>[</w:t>
      </w:r>
      <w:r w:rsidR="00570A33">
        <w:t>4</w:t>
      </w:r>
      <w:r>
        <w:t xml:space="preserve">] </w:t>
      </w:r>
      <w:r w:rsidR="00811B08" w:rsidRPr="00811B08">
        <w:t xml:space="preserve">S. H. Khamene, C. Van Helvoirt, M. N. Tsampas, and M. Creatore, “Electrochemical activation of Atomic-Layer-Deposited nickel oxide for water oxidation,” </w:t>
      </w:r>
      <w:r w:rsidR="00811B08" w:rsidRPr="00811B08">
        <w:rPr>
          <w:i/>
          <w:iCs/>
        </w:rPr>
        <w:t>The Journal of Physical Chemistry C</w:t>
      </w:r>
      <w:r w:rsidR="00811B08" w:rsidRPr="00811B08">
        <w:t>, vol. 127, no. 46, pp. 22570– 22582, Nov. 2023</w:t>
      </w:r>
    </w:p>
    <w:sectPr w:rsidR="00AD7D27" w:rsidRPr="00CC3617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0404"/>
    <w:rsid w:val="00022682"/>
    <w:rsid w:val="00041EFD"/>
    <w:rsid w:val="00061C33"/>
    <w:rsid w:val="00086DA3"/>
    <w:rsid w:val="00095160"/>
    <w:rsid w:val="000A5C5D"/>
    <w:rsid w:val="000A5F9B"/>
    <w:rsid w:val="000C5067"/>
    <w:rsid w:val="000E2FB7"/>
    <w:rsid w:val="00104AA4"/>
    <w:rsid w:val="00114B13"/>
    <w:rsid w:val="00124978"/>
    <w:rsid w:val="00130915"/>
    <w:rsid w:val="001572ED"/>
    <w:rsid w:val="001E0D61"/>
    <w:rsid w:val="001F3705"/>
    <w:rsid w:val="002430FD"/>
    <w:rsid w:val="002551AB"/>
    <w:rsid w:val="00256DB5"/>
    <w:rsid w:val="00282AB0"/>
    <w:rsid w:val="00287F9C"/>
    <w:rsid w:val="002A276F"/>
    <w:rsid w:val="002B68AC"/>
    <w:rsid w:val="00320903"/>
    <w:rsid w:val="00324A3B"/>
    <w:rsid w:val="00325004"/>
    <w:rsid w:val="00350125"/>
    <w:rsid w:val="00367C25"/>
    <w:rsid w:val="003C55F0"/>
    <w:rsid w:val="00400564"/>
    <w:rsid w:val="00420E13"/>
    <w:rsid w:val="0042598F"/>
    <w:rsid w:val="00454881"/>
    <w:rsid w:val="004B675D"/>
    <w:rsid w:val="004C736D"/>
    <w:rsid w:val="004E4641"/>
    <w:rsid w:val="00510DB9"/>
    <w:rsid w:val="00536366"/>
    <w:rsid w:val="00570A33"/>
    <w:rsid w:val="005B4D26"/>
    <w:rsid w:val="005B7C73"/>
    <w:rsid w:val="005E3C64"/>
    <w:rsid w:val="005F79F5"/>
    <w:rsid w:val="00603AAE"/>
    <w:rsid w:val="00651DA2"/>
    <w:rsid w:val="0065695C"/>
    <w:rsid w:val="00685C1A"/>
    <w:rsid w:val="00692DB6"/>
    <w:rsid w:val="006D2305"/>
    <w:rsid w:val="006D7868"/>
    <w:rsid w:val="0070305F"/>
    <w:rsid w:val="007046A8"/>
    <w:rsid w:val="00712054"/>
    <w:rsid w:val="00730424"/>
    <w:rsid w:val="00766547"/>
    <w:rsid w:val="007667F2"/>
    <w:rsid w:val="007A44EF"/>
    <w:rsid w:val="00801282"/>
    <w:rsid w:val="00811B08"/>
    <w:rsid w:val="0087021F"/>
    <w:rsid w:val="00896D0A"/>
    <w:rsid w:val="008B4E80"/>
    <w:rsid w:val="008E1A09"/>
    <w:rsid w:val="008F7573"/>
    <w:rsid w:val="00906DAF"/>
    <w:rsid w:val="00915EC1"/>
    <w:rsid w:val="009342C3"/>
    <w:rsid w:val="00966689"/>
    <w:rsid w:val="009A0217"/>
    <w:rsid w:val="009F1592"/>
    <w:rsid w:val="00A071D7"/>
    <w:rsid w:val="00A37AB9"/>
    <w:rsid w:val="00A57180"/>
    <w:rsid w:val="00A96037"/>
    <w:rsid w:val="00AA33F5"/>
    <w:rsid w:val="00AB5FBD"/>
    <w:rsid w:val="00AD53D7"/>
    <w:rsid w:val="00AD7D27"/>
    <w:rsid w:val="00AF521D"/>
    <w:rsid w:val="00B05A21"/>
    <w:rsid w:val="00B176F8"/>
    <w:rsid w:val="00B33F8F"/>
    <w:rsid w:val="00B430C1"/>
    <w:rsid w:val="00B50B51"/>
    <w:rsid w:val="00B528AB"/>
    <w:rsid w:val="00B6212F"/>
    <w:rsid w:val="00B6439E"/>
    <w:rsid w:val="00B71853"/>
    <w:rsid w:val="00B72534"/>
    <w:rsid w:val="00B7497E"/>
    <w:rsid w:val="00B85CC0"/>
    <w:rsid w:val="00B875F5"/>
    <w:rsid w:val="00B97830"/>
    <w:rsid w:val="00B97EF4"/>
    <w:rsid w:val="00BC21FA"/>
    <w:rsid w:val="00BC3968"/>
    <w:rsid w:val="00BC4837"/>
    <w:rsid w:val="00C2658F"/>
    <w:rsid w:val="00C33898"/>
    <w:rsid w:val="00C87B8D"/>
    <w:rsid w:val="00C95BAB"/>
    <w:rsid w:val="00CC3617"/>
    <w:rsid w:val="00CD2595"/>
    <w:rsid w:val="00CE7AFE"/>
    <w:rsid w:val="00D075E2"/>
    <w:rsid w:val="00D201D2"/>
    <w:rsid w:val="00D248E8"/>
    <w:rsid w:val="00D27D08"/>
    <w:rsid w:val="00D3357F"/>
    <w:rsid w:val="00D808F7"/>
    <w:rsid w:val="00DD0C8B"/>
    <w:rsid w:val="00E0716D"/>
    <w:rsid w:val="00E20433"/>
    <w:rsid w:val="00E42623"/>
    <w:rsid w:val="00E61AF6"/>
    <w:rsid w:val="00E84AE8"/>
    <w:rsid w:val="00EC119F"/>
    <w:rsid w:val="00EF25F4"/>
    <w:rsid w:val="00EF32E5"/>
    <w:rsid w:val="00F203E9"/>
    <w:rsid w:val="00F3249C"/>
    <w:rsid w:val="00F46C8D"/>
    <w:rsid w:val="00F847DF"/>
    <w:rsid w:val="00F8681D"/>
    <w:rsid w:val="00F95F62"/>
    <w:rsid w:val="00F97641"/>
    <w:rsid w:val="00FB670F"/>
    <w:rsid w:val="00FC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F0CEDDC"/>
  <w14:defaultImageDpi w14:val="300"/>
  <w15:docId w15:val="{D05AADD3-9793-4FE5-9CDB-6F9515D5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4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978"/>
  </w:style>
  <w:style w:type="character" w:customStyle="1" w:styleId="CommentTextChar">
    <w:name w:val="Comment Text Char"/>
    <w:basedOn w:val="DefaultParagraphFont"/>
    <w:link w:val="CommentText"/>
    <w:uiPriority w:val="99"/>
    <w:rsid w:val="00124978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978"/>
    <w:rPr>
      <w:b/>
      <w:bCs/>
      <w:snapToGrid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95BAB"/>
    <w:pPr>
      <w:spacing w:after="200"/>
    </w:pPr>
    <w:rPr>
      <w:i/>
      <w:iCs/>
      <w:color w:val="1F497D" w:themeColor="text2"/>
      <w:sz w:val="18"/>
      <w:szCs w:val="18"/>
    </w:rPr>
  </w:style>
  <w:style w:type="paragraph" w:styleId="Revision">
    <w:name w:val="Revision"/>
    <w:hidden/>
    <w:uiPriority w:val="99"/>
    <w:semiHidden/>
    <w:rsid w:val="00570A33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Heijnen, Bram</cp:lastModifiedBy>
  <cp:revision>5</cp:revision>
  <cp:lastPrinted>2026-05-31T17:42:00Z</cp:lastPrinted>
  <dcterms:created xsi:type="dcterms:W3CDTF">2026-05-31T17:28:00Z</dcterms:created>
  <dcterms:modified xsi:type="dcterms:W3CDTF">2026-05-31T17:45:00Z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0c0dc603-c99c-4322-b13d-fbbac32c9e54</vt:lpwstr>
  </property>
</Properties>
</file>