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E3C3D" w14:textId="3967E0EA" w:rsidR="00325004" w:rsidRDefault="00E45A40" w:rsidP="00E45A40">
      <w:pPr>
        <w:jc w:val="center"/>
        <w:rPr>
          <w:b/>
          <w:sz w:val="28"/>
        </w:rPr>
      </w:pPr>
      <w:r w:rsidRPr="00E45A40">
        <w:rPr>
          <w:b/>
          <w:sz w:val="28"/>
        </w:rPr>
        <w:t>Determination of Psilocybin at the ITIES: How Does the Extraction Method Affect the Analysis?</w:t>
      </w:r>
    </w:p>
    <w:p w14:paraId="5E11196B" w14:textId="77777777" w:rsidR="00E45A40" w:rsidRPr="00A86EB9" w:rsidRDefault="00E45A40" w:rsidP="00E0716D">
      <w:pPr>
        <w:jc w:val="center"/>
        <w:rPr>
          <w:b/>
          <w:sz w:val="28"/>
        </w:rPr>
      </w:pPr>
    </w:p>
    <w:p w14:paraId="1659CC1A" w14:textId="6B2354F3" w:rsidR="00325004" w:rsidRPr="00E45A40" w:rsidRDefault="00E45A40" w:rsidP="00E0716D">
      <w:pPr>
        <w:jc w:val="center"/>
        <w:rPr>
          <w:lang w:val="pl-PL"/>
        </w:rPr>
      </w:pPr>
      <w:r w:rsidRPr="00E45A40">
        <w:rPr>
          <w:u w:val="single"/>
          <w:lang w:val="pl-PL"/>
        </w:rPr>
        <w:t>Emilia P</w:t>
      </w:r>
      <w:r w:rsidR="0030678B">
        <w:rPr>
          <w:u w:val="single"/>
          <w:lang w:val="pl-PL"/>
        </w:rPr>
        <w:t>aszkowska</w:t>
      </w:r>
      <w:r w:rsidRPr="00842AF7">
        <w:rPr>
          <w:vertAlign w:val="superscript"/>
          <w:lang w:val="pl-PL"/>
        </w:rPr>
        <w:t>1,2</w:t>
      </w:r>
      <w:r w:rsidR="00325004" w:rsidRPr="00E45A40">
        <w:rPr>
          <w:lang w:val="pl-PL"/>
        </w:rPr>
        <w:t xml:space="preserve">, </w:t>
      </w:r>
      <w:r w:rsidRPr="00E45A40">
        <w:rPr>
          <w:lang w:val="pl-PL"/>
        </w:rPr>
        <w:t>Sylwia Bu</w:t>
      </w:r>
      <w:r>
        <w:rPr>
          <w:lang w:val="pl-PL"/>
        </w:rPr>
        <w:t>dzyńska</w:t>
      </w:r>
      <w:r w:rsidRPr="00E45A40">
        <w:rPr>
          <w:vertAlign w:val="superscript"/>
          <w:lang w:val="pl-PL"/>
        </w:rPr>
        <w:t>3</w:t>
      </w:r>
      <w:r>
        <w:rPr>
          <w:lang w:val="pl-PL"/>
        </w:rPr>
        <w:t>, Łukasz Półtorak</w:t>
      </w:r>
      <w:r w:rsidRPr="00E45A40">
        <w:rPr>
          <w:vertAlign w:val="superscript"/>
          <w:lang w:val="pl-PL"/>
        </w:rPr>
        <w:t>1</w:t>
      </w:r>
      <w:r>
        <w:rPr>
          <w:lang w:val="pl-PL"/>
        </w:rPr>
        <w:t>, Konrad Rudnicki</w:t>
      </w:r>
      <w:r>
        <w:rPr>
          <w:vertAlign w:val="superscript"/>
          <w:lang w:val="pl-PL"/>
        </w:rPr>
        <w:t>1</w:t>
      </w:r>
    </w:p>
    <w:p w14:paraId="0DF7B00E" w14:textId="7CC8B611" w:rsidR="00325004" w:rsidRPr="00E45A40" w:rsidRDefault="00E45A40" w:rsidP="00E0716D">
      <w:pPr>
        <w:jc w:val="center"/>
        <w:rPr>
          <w:i/>
        </w:rPr>
      </w:pPr>
      <w:r w:rsidRPr="00E45A40">
        <w:rPr>
          <w:i/>
          <w:vertAlign w:val="superscript"/>
        </w:rPr>
        <w:t>1</w:t>
      </w:r>
      <w:r w:rsidRPr="00E45A40">
        <w:rPr>
          <w:i/>
        </w:rPr>
        <w:t>Electrochemisty@Soft Interfaces Team, Department of Inorganic and Analytical Chemistry,</w:t>
      </w:r>
      <w:r>
        <w:rPr>
          <w:i/>
        </w:rPr>
        <w:br/>
      </w:r>
      <w:r w:rsidRPr="00E45A40">
        <w:rPr>
          <w:i/>
        </w:rPr>
        <w:t>University of Lodz,</w:t>
      </w:r>
      <w:r>
        <w:rPr>
          <w:i/>
        </w:rPr>
        <w:t xml:space="preserve"> Tamka 12, 91-403 Łódź,</w:t>
      </w:r>
      <w:r w:rsidRPr="00E45A40">
        <w:rPr>
          <w:i/>
        </w:rPr>
        <w:t xml:space="preserve"> Poland</w:t>
      </w:r>
      <w:r>
        <w:rPr>
          <w:i/>
        </w:rPr>
        <w:br/>
      </w:r>
      <w:r w:rsidRPr="00E45A40">
        <w:rPr>
          <w:i/>
          <w:vertAlign w:val="superscript"/>
        </w:rPr>
        <w:t>2</w:t>
      </w:r>
      <w:r w:rsidRPr="00E45A40">
        <w:rPr>
          <w:i/>
        </w:rPr>
        <w:t xml:space="preserve">BioMedChem Doctoral School of the University of Lodz and Institutes of Polish Academy of Sciences, University of Lodz, </w:t>
      </w:r>
      <w:r w:rsidR="00283BF5">
        <w:rPr>
          <w:i/>
        </w:rPr>
        <w:t xml:space="preserve">Jana </w:t>
      </w:r>
      <w:proofErr w:type="spellStart"/>
      <w:r w:rsidR="00283BF5">
        <w:rPr>
          <w:i/>
        </w:rPr>
        <w:t>Matejki</w:t>
      </w:r>
      <w:proofErr w:type="spellEnd"/>
      <w:r w:rsidR="00283BF5">
        <w:rPr>
          <w:i/>
        </w:rPr>
        <w:t xml:space="preserve"> 21/23, 90-237 Łódź, </w:t>
      </w:r>
      <w:r w:rsidRPr="00E45A40">
        <w:rPr>
          <w:i/>
        </w:rPr>
        <w:t>Poland</w:t>
      </w:r>
    </w:p>
    <w:p w14:paraId="7229BBCF" w14:textId="3B1CE86C" w:rsidR="00325004" w:rsidRDefault="00283BF5" w:rsidP="00E0716D">
      <w:pPr>
        <w:jc w:val="center"/>
      </w:pPr>
      <w:r w:rsidRPr="00283BF5">
        <w:rPr>
          <w:i/>
          <w:vertAlign w:val="superscript"/>
        </w:rPr>
        <w:t>3</w:t>
      </w:r>
      <w:r>
        <w:rPr>
          <w:i/>
        </w:rPr>
        <w:t>Poznań University of Life Sciences, Faculty of Forestry and Wood Technology,</w:t>
      </w:r>
      <w:r>
        <w:rPr>
          <w:i/>
        </w:rPr>
        <w:br/>
      </w:r>
      <w:proofErr w:type="spellStart"/>
      <w:r>
        <w:rPr>
          <w:i/>
        </w:rPr>
        <w:t>Wojska</w:t>
      </w:r>
      <w:proofErr w:type="spellEnd"/>
      <w:r>
        <w:rPr>
          <w:i/>
        </w:rPr>
        <w:t xml:space="preserve"> </w:t>
      </w:r>
      <w:proofErr w:type="spellStart"/>
      <w:r>
        <w:rPr>
          <w:i/>
        </w:rPr>
        <w:t>Polskiego</w:t>
      </w:r>
      <w:proofErr w:type="spellEnd"/>
      <w:r>
        <w:rPr>
          <w:i/>
        </w:rPr>
        <w:t xml:space="preserve"> 75, 60-625 </w:t>
      </w:r>
      <w:proofErr w:type="spellStart"/>
      <w:r>
        <w:rPr>
          <w:i/>
        </w:rPr>
        <w:t>Poznań</w:t>
      </w:r>
      <w:proofErr w:type="spellEnd"/>
      <w:r>
        <w:rPr>
          <w:i/>
        </w:rPr>
        <w:t>, Poland</w:t>
      </w:r>
    </w:p>
    <w:p w14:paraId="4616F347" w14:textId="0C9C97AF" w:rsidR="00685C1A" w:rsidRPr="00685C1A" w:rsidRDefault="00283BF5" w:rsidP="00E0716D">
      <w:pPr>
        <w:jc w:val="center"/>
        <w:rPr>
          <w:i/>
        </w:rPr>
      </w:pPr>
      <w:r>
        <w:rPr>
          <w:i/>
        </w:rPr>
        <w:t>emilia.powalka@edu.uni.lodz.pl</w:t>
      </w:r>
    </w:p>
    <w:p w14:paraId="797FC707" w14:textId="77777777" w:rsidR="00325004" w:rsidRDefault="00325004" w:rsidP="00E0716D">
      <w:pPr>
        <w:jc w:val="center"/>
      </w:pPr>
    </w:p>
    <w:p w14:paraId="36FCC6B9" w14:textId="1BC13A0C" w:rsidR="00325004" w:rsidRDefault="00C9616D" w:rsidP="00E0716D">
      <w:pPr>
        <w:jc w:val="both"/>
      </w:pPr>
      <w:r w:rsidRPr="00EE2CC6">
        <w:rPr>
          <w:b/>
          <w:bCs/>
        </w:rPr>
        <w:t>Psilocybin</w:t>
      </w:r>
      <w:r w:rsidRPr="00C9616D">
        <w:t xml:space="preserve">, a potent psychoactive indole alkaloid produced by </w:t>
      </w:r>
      <w:proofErr w:type="spellStart"/>
      <w:r w:rsidRPr="00EE2CC6">
        <w:rPr>
          <w:i/>
          <w:iCs/>
        </w:rPr>
        <w:t>Psilocybe</w:t>
      </w:r>
      <w:proofErr w:type="spellEnd"/>
      <w:r w:rsidRPr="00C9616D">
        <w:t xml:space="preserve"> mushrooms</w:t>
      </w:r>
      <w:r w:rsidR="00EE2CC6" w:rsidRPr="00EE2CC6">
        <w:rPr>
          <w:vertAlign w:val="superscript"/>
        </w:rPr>
        <w:t>1</w:t>
      </w:r>
      <w:r w:rsidRPr="00C9616D">
        <w:t>, is currently gaining significant clinical and regulatory attention. Consequently, efficient methods for its determination are essential. While current chromatographic techniques offer excellent sensitivity, their reliance on expensive infrastructure and lengthy procedures underscores the necessity for novel, low-cost analytical tools suitable for rapid screening.</w:t>
      </w:r>
    </w:p>
    <w:p w14:paraId="1A0736A5" w14:textId="401C0FE3" w:rsidR="00EE2CC6" w:rsidRDefault="00EE2CC6" w:rsidP="00E0716D">
      <w:pPr>
        <w:jc w:val="both"/>
      </w:pPr>
      <w:r>
        <w:rPr>
          <w:noProof/>
          <w:snapToGrid/>
        </w:rPr>
        <w:drawing>
          <wp:anchor distT="0" distB="0" distL="114300" distR="114300" simplePos="0" relativeHeight="251658240" behindDoc="0" locked="0" layoutInCell="1" allowOverlap="1" wp14:anchorId="53DDBCD8" wp14:editId="4D58FC5A">
            <wp:simplePos x="0" y="0"/>
            <wp:positionH relativeFrom="margin">
              <wp:posOffset>-5715</wp:posOffset>
            </wp:positionH>
            <wp:positionV relativeFrom="page">
              <wp:posOffset>3985260</wp:posOffset>
            </wp:positionV>
            <wp:extent cx="5400040" cy="1762760"/>
            <wp:effectExtent l="0" t="0" r="0" b="8890"/>
            <wp:wrapTopAndBottom/>
            <wp:docPr id="193585336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3369" name="Obraz 1"/>
                    <pic:cNvPicPr/>
                  </pic:nvPicPr>
                  <pic:blipFill>
                    <a:blip r:embed="rId4"/>
                    <a:stretch>
                      <a:fillRect/>
                    </a:stretch>
                  </pic:blipFill>
                  <pic:spPr>
                    <a:xfrm>
                      <a:off x="0" y="0"/>
                      <a:ext cx="5400040" cy="1762760"/>
                    </a:xfrm>
                    <a:prstGeom prst="rect">
                      <a:avLst/>
                    </a:prstGeom>
                  </pic:spPr>
                </pic:pic>
              </a:graphicData>
            </a:graphic>
          </wp:anchor>
        </w:drawing>
      </w:r>
    </w:p>
    <w:p w14:paraId="3C591B9D" w14:textId="77777777" w:rsidR="00C9616D" w:rsidRDefault="00C9616D" w:rsidP="00E0716D">
      <w:pPr>
        <w:jc w:val="both"/>
      </w:pPr>
    </w:p>
    <w:p w14:paraId="2AE828F8" w14:textId="1A26DE54" w:rsidR="001C06EF" w:rsidRDefault="001C06EF" w:rsidP="001C06EF">
      <w:pPr>
        <w:jc w:val="center"/>
      </w:pPr>
      <w:r>
        <w:t>Fig. 1: Extraction procedure scheme</w:t>
      </w:r>
      <w:r w:rsidR="00EE2CC6">
        <w:t>.</w:t>
      </w:r>
    </w:p>
    <w:p w14:paraId="32655DBD" w14:textId="77777777" w:rsidR="00325004" w:rsidRDefault="00325004" w:rsidP="00E0716D">
      <w:pPr>
        <w:jc w:val="both"/>
      </w:pPr>
    </w:p>
    <w:p w14:paraId="14C39E84" w14:textId="77777777" w:rsidR="00EE2CC6" w:rsidRDefault="00EE2CC6" w:rsidP="00E0716D">
      <w:pPr>
        <w:jc w:val="both"/>
      </w:pPr>
    </w:p>
    <w:p w14:paraId="489290F6" w14:textId="762D133F" w:rsidR="00C9616D" w:rsidRDefault="00EE2CC6" w:rsidP="001C06EF">
      <w:pPr>
        <w:jc w:val="both"/>
      </w:pPr>
      <w:r w:rsidRPr="00EE2CC6">
        <w:t xml:space="preserve">In this study, a novel electrochemical methodology utilizing the </w:t>
      </w:r>
      <w:r w:rsidRPr="00EE2CC6">
        <w:rPr>
          <w:b/>
          <w:bCs/>
        </w:rPr>
        <w:t>interface between two immiscible electrolyte solutions (ITIES)</w:t>
      </w:r>
      <w:r w:rsidRPr="00EE2CC6">
        <w:t xml:space="preserve"> was developed for the determination of psilocybin. Compared to traditional solid electrodes, ITIES offers significant advantages, including a defect-free, renewable liquid-liquid interface, inherent resistance to surface fouling by complex biological matrices, and the capability of direct ion-transfer detection</w:t>
      </w:r>
      <w:r w:rsidRPr="00EE2CC6">
        <w:rPr>
          <w:vertAlign w:val="superscript"/>
        </w:rPr>
        <w:t>2</w:t>
      </w:r>
      <w:r w:rsidRPr="00EE2CC6">
        <w:t xml:space="preserve">. The electrochemical behavior of psilocybin at the pristine liquid-liquid interface was systematically investigated across various aqueous phases using cyclic voltammetry (CV). Furthermore, </w:t>
      </w:r>
      <w:r w:rsidRPr="00EE2CC6">
        <w:rPr>
          <w:b/>
          <w:bCs/>
        </w:rPr>
        <w:t>differential pulse voltammetry (DPV)</w:t>
      </w:r>
      <w:r w:rsidRPr="00EE2CC6">
        <w:t xml:space="preserve"> was employed to determine the relationship between the concentration</w:t>
      </w:r>
      <w:r>
        <w:t xml:space="preserve"> of psilocybin in aqueous phase</w:t>
      </w:r>
      <w:r w:rsidRPr="00EE2CC6">
        <w:t xml:space="preserve"> and the transfer peak current. To evaluate the analytical applicability of the proposed method, dried and mortar-ground </w:t>
      </w:r>
      <w:proofErr w:type="spellStart"/>
      <w:r w:rsidR="00B73578">
        <w:rPr>
          <w:i/>
          <w:iCs/>
        </w:rPr>
        <w:t>Psilocybe</w:t>
      </w:r>
      <w:proofErr w:type="spellEnd"/>
      <w:r w:rsidR="00B73578">
        <w:rPr>
          <w:i/>
          <w:iCs/>
        </w:rPr>
        <w:t xml:space="preserve"> </w:t>
      </w:r>
      <w:proofErr w:type="spellStart"/>
      <w:r w:rsidR="00B73578">
        <w:rPr>
          <w:i/>
          <w:iCs/>
        </w:rPr>
        <w:t>cubensis</w:t>
      </w:r>
      <w:proofErr w:type="spellEnd"/>
      <w:r w:rsidRPr="00EE2CC6">
        <w:t xml:space="preserve"> mushroom samples were analyzed. </w:t>
      </w:r>
      <w:r>
        <w:t>The extraction procedure, schematically illustrated</w:t>
      </w:r>
      <w:r w:rsidRPr="00EE2CC6">
        <w:t xml:space="preserve"> in Figure 1, </w:t>
      </w:r>
      <w:r w:rsidR="00651074">
        <w:t xml:space="preserve">involved comparing </w:t>
      </w:r>
      <w:r w:rsidRPr="00EE2CC6">
        <w:t xml:space="preserve">two solvent systems (pure methanol and a 1:1 mixture of methanol and 20 mM </w:t>
      </w:r>
      <w:proofErr w:type="spellStart"/>
      <w:r w:rsidRPr="00EE2CC6">
        <w:t>Li₂SO</w:t>
      </w:r>
      <w:proofErr w:type="spellEnd"/>
      <w:r w:rsidRPr="00EE2CC6">
        <w:t>₄) and two agitation techniques (ultrasonic bath and mechanical shaker). Finally, the developed DPV procedure was successfully applied to quantify the psilocybin content across all prepared extracts.</w:t>
      </w:r>
    </w:p>
    <w:p w14:paraId="1413BA5A" w14:textId="77777777" w:rsidR="00651074" w:rsidRDefault="00651074" w:rsidP="001C06EF">
      <w:pPr>
        <w:jc w:val="both"/>
      </w:pPr>
    </w:p>
    <w:p w14:paraId="632D757D" w14:textId="77777777" w:rsidR="00651074" w:rsidRDefault="00651074" w:rsidP="001C06EF">
      <w:pPr>
        <w:jc w:val="both"/>
      </w:pPr>
    </w:p>
    <w:p w14:paraId="5D11017A" w14:textId="77777777" w:rsidR="00651074" w:rsidRDefault="00651074" w:rsidP="001C06EF">
      <w:pPr>
        <w:jc w:val="both"/>
      </w:pPr>
    </w:p>
    <w:p w14:paraId="7306E6D0" w14:textId="7BE6AA61" w:rsidR="00651074" w:rsidRPr="00651074" w:rsidRDefault="00651074" w:rsidP="001C06EF">
      <w:pPr>
        <w:jc w:val="both"/>
        <w:rPr>
          <w:b/>
          <w:bCs/>
          <w:sz w:val="18"/>
          <w:szCs w:val="18"/>
        </w:rPr>
      </w:pPr>
      <w:r w:rsidRPr="00651074">
        <w:rPr>
          <w:b/>
          <w:bCs/>
          <w:sz w:val="18"/>
          <w:szCs w:val="18"/>
        </w:rPr>
        <w:t>References</w:t>
      </w:r>
    </w:p>
    <w:p w14:paraId="5FCB9019" w14:textId="01D110DB" w:rsidR="00651074" w:rsidRPr="00651074" w:rsidRDefault="00651074" w:rsidP="00651074">
      <w:pPr>
        <w:jc w:val="both"/>
        <w:rPr>
          <w:sz w:val="18"/>
          <w:szCs w:val="18"/>
        </w:rPr>
      </w:pPr>
      <w:r w:rsidRPr="00651074">
        <w:rPr>
          <w:sz w:val="18"/>
          <w:szCs w:val="18"/>
          <w:vertAlign w:val="superscript"/>
        </w:rPr>
        <w:t>1</w:t>
      </w:r>
      <w:r w:rsidRPr="00651074">
        <w:rPr>
          <w:sz w:val="18"/>
          <w:szCs w:val="18"/>
        </w:rPr>
        <w:t xml:space="preserve">J. van Amsterdam, A. </w:t>
      </w:r>
      <w:proofErr w:type="spellStart"/>
      <w:r w:rsidRPr="00651074">
        <w:rPr>
          <w:sz w:val="18"/>
          <w:szCs w:val="18"/>
        </w:rPr>
        <w:t>Opperhuizen</w:t>
      </w:r>
      <w:proofErr w:type="spellEnd"/>
      <w:r w:rsidRPr="00651074">
        <w:rPr>
          <w:sz w:val="18"/>
          <w:szCs w:val="18"/>
        </w:rPr>
        <w:t>, W. van den Brink, Regulatory Toxicology and Pharmacology, 2011, 59,</w:t>
      </w:r>
      <w:r>
        <w:rPr>
          <w:sz w:val="18"/>
          <w:szCs w:val="18"/>
        </w:rPr>
        <w:br/>
      </w:r>
      <w:r w:rsidRPr="00651074">
        <w:rPr>
          <w:sz w:val="18"/>
          <w:szCs w:val="18"/>
        </w:rPr>
        <w:t>423-429.</w:t>
      </w:r>
    </w:p>
    <w:p w14:paraId="75D26B9F" w14:textId="0CBBF023" w:rsidR="00651074" w:rsidRPr="00651074" w:rsidRDefault="00651074" w:rsidP="00651074">
      <w:pPr>
        <w:jc w:val="both"/>
        <w:rPr>
          <w:sz w:val="18"/>
          <w:szCs w:val="18"/>
        </w:rPr>
      </w:pPr>
      <w:r w:rsidRPr="00651074">
        <w:rPr>
          <w:sz w:val="18"/>
          <w:szCs w:val="18"/>
          <w:vertAlign w:val="superscript"/>
        </w:rPr>
        <w:t>2</w:t>
      </w:r>
      <w:r w:rsidRPr="00651074">
        <w:rPr>
          <w:sz w:val="18"/>
          <w:szCs w:val="18"/>
        </w:rPr>
        <w:t>H. D. Jetmore, E. S. Anupriya, T. J. Cress, M. Shen, Analytical Chemistry, 2022, 94, 16519-16527.</w:t>
      </w:r>
    </w:p>
    <w:p w14:paraId="41609220" w14:textId="77777777" w:rsidR="001C06EF" w:rsidRPr="00EE2CC6" w:rsidRDefault="001C06EF" w:rsidP="00E0716D">
      <w:pPr>
        <w:jc w:val="both"/>
      </w:pPr>
    </w:p>
    <w:p w14:paraId="2CA24EE9" w14:textId="0A1129CE" w:rsidR="001C06EF" w:rsidRPr="00651074" w:rsidRDefault="00651074" w:rsidP="00E0716D">
      <w:pPr>
        <w:jc w:val="both"/>
        <w:rPr>
          <w:i/>
          <w:iCs/>
          <w:sz w:val="18"/>
          <w:szCs w:val="18"/>
        </w:rPr>
      </w:pPr>
      <w:r w:rsidRPr="00651074">
        <w:rPr>
          <w:i/>
          <w:iCs/>
          <w:sz w:val="18"/>
          <w:szCs w:val="18"/>
        </w:rPr>
        <w:t>Th</w:t>
      </w:r>
      <w:r w:rsidR="001C06EF" w:rsidRPr="00651074">
        <w:rPr>
          <w:i/>
          <w:iCs/>
          <w:sz w:val="18"/>
          <w:szCs w:val="18"/>
        </w:rPr>
        <w:t>is research was financially supported by the National Science Center (NCN) in Krakow, Poland within the PRELUDIUM project (2025/57/N/ST4/02255).</w:t>
      </w:r>
    </w:p>
    <w:sectPr w:rsidR="001C06EF" w:rsidRPr="0065107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C06EF"/>
    <w:rsid w:val="00283BF5"/>
    <w:rsid w:val="0030678B"/>
    <w:rsid w:val="00325004"/>
    <w:rsid w:val="00381B2B"/>
    <w:rsid w:val="00440D2A"/>
    <w:rsid w:val="00536366"/>
    <w:rsid w:val="005A5640"/>
    <w:rsid w:val="00627759"/>
    <w:rsid w:val="00651074"/>
    <w:rsid w:val="00685C1A"/>
    <w:rsid w:val="00842AF7"/>
    <w:rsid w:val="0089712B"/>
    <w:rsid w:val="00B5254C"/>
    <w:rsid w:val="00B73578"/>
    <w:rsid w:val="00C9616D"/>
    <w:rsid w:val="00E0716D"/>
    <w:rsid w:val="00E45A40"/>
    <w:rsid w:val="00E97BC0"/>
    <w:rsid w:val="00EE2CC6"/>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E1BA3"/>
  <w14:defaultImageDpi w14:val="300"/>
  <w15:docId w15:val="{24004FAA-848E-45A3-9BD8-D0B9AB61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06EF"/>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398</Words>
  <Characters>2394</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Emilia Powałka</cp:lastModifiedBy>
  <cp:revision>10</cp:revision>
  <cp:lastPrinted>2013-10-21T12:07:00Z</cp:lastPrinted>
  <dcterms:created xsi:type="dcterms:W3CDTF">2021-03-10T13:20:00Z</dcterms:created>
  <dcterms:modified xsi:type="dcterms:W3CDTF">2026-05-28T07:42:00Z</dcterms:modified>
</cp:coreProperties>
</file>