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rPr>
          <w:b/>
          <w:sz w:val="28"/>
        </w:rPr>
      </w:pPr>
      <w:r>
        <w:rPr>
          <w:lang w:eastAsia="ko-KR"/>
          <w:b/>
          <w:color w:val="000000"/>
          <w:sz w:val="28"/>
        </w:rPr>
        <w:t>Mechanical Stabilization of High-Loading LiFePO</w:t>
      </w:r>
      <w:r>
        <w:rPr>
          <w:lang w:eastAsia="ko-KR"/>
          <w:rFonts w:hint="eastAsia"/>
          <w:b/>
          <w:color w:val="000000"/>
          <w:sz w:val="28"/>
          <w:vertAlign w:val="subscript"/>
        </w:rPr>
        <w:t>4</w:t>
      </w:r>
      <w:r>
        <w:rPr>
          <w:lang w:eastAsia="ko-KR"/>
          <w:b/>
          <w:color w:val="000000"/>
          <w:sz w:val="28"/>
        </w:rPr>
        <w:t xml:space="preserve"> Thick Electrodes through Electrode Architecture Engineering</w:t>
      </w:r>
    </w:p>
    <w:p>
      <w:pPr>
        <w:jc w:val="center"/>
        <w:rPr>
          <w:b/>
          <w:sz w:val="28"/>
        </w:rPr>
      </w:pPr>
    </w:p>
    <w:p>
      <w:pPr>
        <w:jc w:val="center"/>
      </w:pPr>
      <w:r>
        <w:rPr>
          <w:bCs/>
          <w:u w:val="single" w:color="auto"/>
        </w:rPr>
        <w:t>Seong Gil An</w:t>
      </w:r>
      <w:r>
        <w:rPr>
          <w:bCs/>
        </w:rPr>
        <w:t xml:space="preserve"> and Ji Heon Ryu</w:t>
      </w:r>
      <w:r>
        <w:rPr>
          <w:bCs/>
          <w:vertAlign w:val="superscript"/>
        </w:rPr>
        <w:t>*</w:t>
      </w:r>
    </w:p>
    <w:p>
      <w:pPr>
        <w:ind w:firstLineChars="100" w:firstLine="200"/>
        <w:jc w:val="center"/>
        <w:rPr>
          <w:i/>
          <w:iCs/>
          <w:color w:val="000000"/>
          <w:shd w:val="clear" w:color="auto" w:fill="FDFDFD"/>
        </w:rPr>
      </w:pPr>
      <w:r>
        <w:rPr>
          <w:i/>
          <w:iCs/>
          <w:color w:val="000000"/>
          <w:shd w:val="clear" w:color="auto" w:fill="FDFDFD"/>
        </w:rPr>
        <w:t>Graduate School of Convergence Technology and Energy, Tech University of Korea,</w:t>
      </w:r>
    </w:p>
    <w:p>
      <w:pPr>
        <w:ind w:firstLineChars="100" w:firstLine="200"/>
        <w:jc w:val="center"/>
        <w:rPr>
          <w:i/>
          <w:iCs/>
          <w:color w:val="000000"/>
          <w:shd w:val="clear" w:color="auto" w:fill="FDFDFD"/>
        </w:rPr>
      </w:pPr>
      <w:r>
        <w:rPr>
          <w:i/>
          <w:iCs/>
          <w:color w:val="000000"/>
          <w:shd w:val="clear" w:color="auto" w:fill="FDFDFD"/>
        </w:rPr>
        <w:t>237 Sangidaehak-ro, Siheung-si, Gyeonggi-do, 15073, Korea</w:t>
      </w:r>
    </w:p>
    <w:p>
      <w:pPr>
        <w:jc w:val="center"/>
        <w:rPr>
          <w:color w:val="000000"/>
        </w:rPr>
      </w:pPr>
      <w:r>
        <w:rPr>
          <w:i/>
          <w:iCs/>
          <w:color w:val="000000"/>
          <w:shd w:val="clear" w:color="auto" w:fill="FDFDFD"/>
        </w:rPr>
        <w:t>*ryujh@tukorea.ac.kr</w:t>
      </w:r>
    </w:p>
    <w:p>
      <w:pPr>
        <w:ind w:firstLineChars="100" w:firstLine="200"/>
        <w:jc w:val="both"/>
        <w:rPr>
          <w:color w:val="000000"/>
        </w:rPr>
      </w:pPr>
    </w:p>
    <w:p>
      <w:pPr>
        <w:jc w:val="both"/>
        <w:rPr>
          <w:color w:val="000000"/>
        </w:rPr>
      </w:pPr>
      <w:r>
        <w:rPr>
          <w:rFonts w:hint="eastAsia"/>
          <w:color w:val="000000"/>
        </w:rPr>
        <w:t>LiFePO</w:t>
      </w:r>
      <w:r>
        <w:rPr>
          <w:rFonts w:hint="eastAsia"/>
          <w:color w:val="000000"/>
        </w:rPr>
        <w:t>₄</w:t>
      </w:r>
      <w:r>
        <w:rPr>
          <w:rFonts w:hint="eastAsia"/>
          <w:color w:val="000000"/>
        </w:rPr>
        <w:t xml:space="preserve"> (LFP) is widely used as a positive electrode material for electric vehicle (EV) batteries because of its excellent thermal stability, long cycle life, and low cost. However, its relatively low energy density compared to NCM-based materials remains </w:t>
      </w:r>
      <w:r>
        <w:rPr>
          <w:color w:val="000000"/>
        </w:rPr>
        <w:t>a major limitation. To improve energy density while enhancing cost efficiency, the development of high-loading thick electrodes has attracted significant attention.</w:t>
      </w:r>
    </w:p>
    <w:p>
      <w:pPr>
        <w:jc w:val="both"/>
        <w:rPr>
          <w:color w:val="000000"/>
        </w:rPr>
      </w:pPr>
    </w:p>
    <w:p>
      <w:pPr>
        <w:jc w:val="both"/>
        <w:rPr>
          <w:color w:val="000000"/>
        </w:rPr>
      </w:pPr>
      <w:r>
        <w:rPr>
          <w:color w:val="000000"/>
        </w:rPr>
        <w:t xml:space="preserve">However, as LFP positive electrodes are fabricated with increased </w:t>
      </w:r>
      <w:r>
        <w:rPr>
          <w:color w:val="000000"/>
        </w:rPr>
        <w:t>areal</w:t>
      </w:r>
      <w:r>
        <w:rPr>
          <w:color w:val="000000"/>
        </w:rPr>
        <w:t xml:space="preserve"> loading and thickness, their mechanical stability deteriorates significantly. Thick electrodes are more vulnerable to crack formation and delamination because mechanical strain and interfacial stress increase with electrode thickness. In addition, increased thickness aggravates process-induced heterogeneity, including non-uniform drying, binder migration, and residual stress accumulation, resulting in weakened adhesion between the electrode layer and the current collector.</w:t>
      </w:r>
    </w:p>
    <w:p>
      <w:pPr>
        <w:jc w:val="both"/>
        <w:rPr>
          <w:color w:val="000000"/>
        </w:rPr>
      </w:pPr>
    </w:p>
    <w:p>
      <w:pPr>
        <w:jc w:val="both"/>
        <w:rPr>
          <w:color w:val="000000"/>
        </w:rPr>
      </w:pPr>
      <w:r>
        <w:rPr>
          <w:color w:val="000000"/>
        </w:rPr>
        <w:t>In this study, electrode architecture engineering strategies were investigated to improve the mechanical stability of high-loading LFP thick electrodes. The electrode architecture was controlled through compositional design and process optimization. First, the mechanical properties of the electrode were enhanced by controlling PVDF binder content and introducing linear carbon conductive additives such as multi-walled carbon nanotubes (MWCNTs) and vapor-grown carbon fibers (VGCFs). These approaches provided distinct reinforcement mechanisms, including binder-mediated adhesion enhancement and the formation of linear conductive networks through fiber scaffolding. In addition, electrode processing conditions were optimized to reduce structural heterogeneity within the electrode layer. Improvements in mechanical stability were evaluated through crack observation under mechanical deformation and peel strength measurements. Electrochemical evaluations were further performed to investigate the relationship between mechanical stability and electrochemical performance.</w:t>
      </w:r>
    </w:p>
    <w:p>
      <w:pPr>
        <w:jc w:val="both"/>
        <w:rPr>
          <w:color w:val="000000"/>
        </w:rPr>
      </w:pPr>
    </w:p>
    <w:p>
      <w:pPr>
        <w:jc w:val="both"/>
        <w:rPr>
          <w:lang w:eastAsia="ko-KR"/>
        </w:rPr>
      </w:pPr>
      <w:r>
        <w:rPr>
          <w:color w:val="000000"/>
        </w:rPr>
        <w:t>These results provide a systematic framework for understanding and controlling the mechanical stability of thick LFP electrodes, serving as a foundation for the reliable fabrication of high-loading electrodes for high-energy-density lithium-ion batteries.</w:t>
      </w:r>
    </w:p>
    <w:sectPr>
      <w:pgSz w:w="11907" w:h="16840" w:code="9"/>
      <w:pgMar w:top="1701" w:right="1701" w:bottom="1701" w:left="1701" w:header="567" w:footer="720" w:gutter="0"/>
      <w:cols w:space="720"/>
      <w:docGrid w:linePitch="360"/>
      <w:footnotePr>
        <w:numRestart w:val="eachSect"/>
      </w:footnotePr>
      <w:endnotePr>
        <w:numFmt w:val="decimal"/>
      </w:end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Times New Roman"/>
    <w:charset w:val="00"/>
    <w:notTrueType w:val="false"/>
    <w:sig w:usb0="E0002EFF" w:usb1="C000785B" w:usb2="00000009" w:usb3="00000001" w:csb0="400001FF" w:csb1="FFFF0000"/>
  </w:font>
  <w:font w:name="바탕">
    <w:panose1 w:val="02030600000101010101"/>
    <w:family w:val="Batang"/>
    <w:charset w:val="00"/>
    <w:notTrueType w:val="false"/>
    <w:sig w:usb0="B00002AF" w:usb1="69D77CFB" w:usb2="00000030" w:usb3="00000001"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30"/>
  <w:removePersonalInformation/>
  <w:bordersDontSurroundHeader/>
  <w:bordersDontSurroundFooter/>
  <w:hideGrammaticalErrors/>
  <w:proofState w:spelling="clean" w:grammar="clean"/>
  <w:defaultTabStop w:val="720"/>
  <w:hyphenationZone w:val="360"/>
  <w:doNotHyphenateCap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rawingGridHorizontalSpacing w:val="180"/>
  <w:drawingGridVerticalSpacing w:val="180"/>
  <w:doNotUseMarginsForDrawingGridOrigin/>
  <w:displayHorizontalDrawingGridEvery w:val="1"/>
  <w:displayVerticalDrawingGridEvery w:val="1"/>
  <w:doNotShadeFormData/>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0"/>
    <m:wrapRight m:val="0"/>
    <m:intLim m:val="subSup"/>
    <m:naryLim m:val="undOvr"/>
    <m:interSp m:val="0"/>
    <m:intraSp m:val="0"/>
    <m:preSp m:val="0"/>
    <m:postSp m:val="0"/>
  </m:mathPr>
  <w:themeFontLang w:val="en-US" w:eastAsia="ja-JP"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imes New Roman" w:eastAsia="바탕" w:hAnsi="Times New Roman" w:cs="Times New Roman"/>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3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0"/>
    <w:lsdException w:name="Light List" w:uiPriority="0"/>
    <w:lsdException w:name="Light Grid" w:uiPriority="0"/>
    <w:lsdException w:name="Medium Shading 1" w:uiPriority="0"/>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0"/>
    <w:lsdException w:name="Light List Accent 1" w:uiPriority="0"/>
    <w:lsdException w:name="Light Grid Accent 1" w:uiPriority="0"/>
    <w:lsdException w:name="Medium Shading 1 Accent 1" w:uiPriority="0"/>
    <w:lsdException w:name="Medium Shading 2 Accent 1" w:uiPriority="0"/>
    <w:lsdException w:name="Medium List 1 Accent 1" w:uiPriority="0"/>
    <w:lsdException w:name="Revision" w:semiHidden="1"/>
    <w:lsdException w:name="List Paragraph" w:uiPriority="0" w:qFormat="1"/>
    <w:lsdException w:name="Quote" w:uiPriority="0" w:qFormat="1"/>
    <w:lsdException w:name="Intense Quote" w:uiPriority="0"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0"/>
    <w:lsdException w:name="Light List Accent 2" w:uiPriority="0"/>
    <w:lsdException w:name="Light Grid Accent 2" w:uiPriority="0"/>
    <w:lsdException w:name="Medium Shading 1 Accent 2" w:uiPriority="0"/>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0"/>
    <w:lsdException w:name="Light List Accent 3" w:uiPriority="0"/>
    <w:lsdException w:name="Light Grid Accent 3" w:uiPriority="0"/>
    <w:lsdException w:name="Medium Shading 1 Accent 3" w:uiPriority="0"/>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0"/>
    <w:lsdException w:name="Light List Accent 4" w:uiPriority="0"/>
    <w:lsdException w:name="Light Grid Accent 4" w:uiPriority="0"/>
    <w:lsdException w:name="Medium Shading 1 Accent 4" w:uiPriority="0"/>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0"/>
    <w:lsdException w:name="Light List Accent 5" w:uiPriority="0"/>
    <w:lsdException w:name="Light Grid Accent 5" w:uiPriority="0"/>
    <w:lsdException w:name="Medium Shading 1 Accent 5" w:uiPriority="0"/>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0"/>
    <w:lsdException w:name="Light List Accent 6" w:uiPriority="0"/>
    <w:lsdException w:name="Light Grid Accent 6" w:uiPriority="0"/>
    <w:lsdException w:name="Medium Shading 1 Accent 6" w:uiPriority="0"/>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0" w:unhideWhenUsed="1" w:qFormat="1"/>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off"/>
    </w:pPr>
    <w:rPr>
      <w:snapToGrid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표준 표1"/>
    <w:uiPriority w:val="99"/>
    <w:semiHidden/>
    <w:unhideWhenUsed/>
    <w:tblPr>
      <w:tblInd w:w="0" w:type="dxa"/>
      <w:tblCellMar>
        <w:top w:w="0" w:type="dxa"/>
        <w:left w:w="108" w:type="dxa"/>
        <w:bottom w:w="0" w:type="dxa"/>
        <w:right w:w="108" w:type="dxa"/>
      </w:tblCellMar>
    </w:tblPr>
  </w:style>
  <w:style w:type="numbering" w:customStyle="1" w:styleId="10">
    <w:name w:val="목록 없음1"/>
    <w:uiPriority w:val="99"/>
    <w:semiHidden/>
    <w:unhideWhenUsed/>
  </w:style>
  <w:style w:type="table" w:customStyle="1" w:styleId="2">
    <w:name w:val="표준 표2"/>
    <w:uiPriority w:val="99"/>
    <w:semiHidden/>
    <w:unhideWhenUsed/>
    <w:tblPr>
      <w:tblInd w:w="0" w:type="dxa"/>
      <w:tblCellMar>
        <w:top w:w="0" w:type="dxa"/>
        <w:left w:w="108" w:type="dxa"/>
        <w:bottom w:w="0" w:type="dxa"/>
        <w:right w:w="108" w:type="dxa"/>
      </w:tblCellMar>
    </w:tblPr>
  </w:style>
  <w:style w:type="numbering" w:customStyle="1" w:styleId="20">
    <w:name w:val="목록 없음2"/>
    <w:uiPriority w:val="99"/>
    <w:semiHidden/>
    <w:unhideWhenUsed/>
  </w:style>
  <w:style w:type="paragraph" w:styleId="a3">
    <w:name w:val="header"/>
    <w:uiPriority w:val="99"/>
    <w:basedOn w:val="a"/>
    <w:link w:val="Char"/>
    <w:unhideWhenUsed/>
    <w:pPr>
      <w:snapToGrid w:val="0"/>
      <w:tabs>
        <w:tab w:val="center" w:pos="4513"/>
        <w:tab w:val="right" w:pos="9026"/>
      </w:tabs>
    </w:pPr>
  </w:style>
  <w:style w:type="character" w:customStyle="1" w:styleId="Char">
    <w:name w:val="머리글 Char"/>
    <w:uiPriority w:val="99"/>
    <w:basedOn w:val="a0"/>
    <w:link w:val="a3"/>
    <w:rPr>
      <w:snapToGrid w:val="0"/>
    </w:rPr>
  </w:style>
  <w:style w:type="paragraph" w:styleId="a4">
    <w:name w:val="footer"/>
    <w:uiPriority w:val="99"/>
    <w:basedOn w:val="a"/>
    <w:link w:val="Char0"/>
    <w:unhideWhenUsed/>
    <w:pPr>
      <w:snapToGrid w:val="0"/>
      <w:tabs>
        <w:tab w:val="center" w:pos="4513"/>
        <w:tab w:val="right" w:pos="9026"/>
      </w:tabs>
    </w:pPr>
  </w:style>
  <w:style w:type="character" w:customStyle="1" w:styleId="Char0">
    <w:name w:val="바닥글 Char"/>
    <w:uiPriority w:val="99"/>
    <w:basedOn w:val="a0"/>
    <w:link w:val="a4"/>
    <w:rPr>
      <w:snapToGrid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Gothic"/>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Cambria"/>
        <a:ea typeface=""/>
        <a:cs typeface=""/>
        <a:font script="Jpan" typeface="MS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gil00</dc:creator>
  <cp:keywords/>
  <dc:description/>
  <cp:lastModifiedBy>gil00</cp:lastModifiedBy>
  <cp:revision>1</cp:revision>
  <dcterms:created xsi:type="dcterms:W3CDTF">2021-03-10T13:20:00Z</dcterms:created>
  <dcterms:modified xsi:type="dcterms:W3CDTF">2026-06-01T03:05:23Z</dcterms:modified>
  <cp:lastPrinted>2013-10-21T12:07:00Z</cp:lastPrinted>
  <cp:version>1200.0100.01</cp:version>
</cp:coreProperties>
</file>