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28"/>
        </w:rPr>
      </w:pPr>
      <w:r>
        <w:rPr>
          <w:b/>
          <w:bCs/>
          <w:sz w:val="28"/>
        </w:rPr>
        <w:t xml:space="preserve">Decoding </w:t>
      </w:r>
      <w:r>
        <w:rPr>
          <w:b/>
          <w:bCs/>
          <w:sz w:val="28"/>
        </w:rPr>
        <w:t xml:space="preserve">complex interfacial behaviors </w:t>
      </w:r>
      <w:r>
        <w:rPr>
          <w:b/>
          <w:bCs/>
          <w:sz w:val="28"/>
        </w:rPr>
        <w:t>by combining</w:t>
      </w:r>
      <w:r>
        <w:rPr>
          <w:b/>
          <w:bCs/>
          <w:sz w:val="28"/>
        </w:rPr>
        <w:t xml:space="preserve"> advanced atomistic simulations </w:t>
      </w:r>
      <w:r>
        <w:rPr>
          <w:b/>
          <w:bCs/>
          <w:sz w:val="28"/>
        </w:rPr>
        <w:t>and x-ray spectroscopy</w:t>
      </w:r>
    </w:p>
    <w:p>
      <w:pPr>
        <w:pStyle w:val="Normal"/>
        <w:jc w:val="center"/>
        <w:rPr>
          <w:b/>
          <w:b/>
          <w:sz w:val="28"/>
        </w:rPr>
      </w:pPr>
      <w:r>
        <w:rPr>
          <w:b/>
          <w:sz w:val="28"/>
        </w:rPr>
      </w:r>
    </w:p>
    <w:p>
      <w:pPr>
        <w:pStyle w:val="Normal"/>
        <w:jc w:val="center"/>
        <w:rPr/>
      </w:pPr>
      <w:r>
        <w:rPr>
          <w:u w:val="single"/>
        </w:rPr>
        <w:t>P</w:t>
      </w:r>
      <w:r>
        <w:rPr>
          <w:u w:val="single"/>
        </w:rPr>
        <w:t>iotr M. Kowalski</w:t>
      </w:r>
    </w:p>
    <w:p>
      <w:pPr>
        <w:pStyle w:val="Normal"/>
        <w:jc w:val="center"/>
        <w:rPr>
          <w:i/>
          <w:i/>
        </w:rPr>
      </w:pPr>
      <w:r>
        <w:rPr>
          <w:i/>
        </w:rPr>
        <w:t>Affiliation</w:t>
      </w:r>
      <w:r>
        <w:rPr>
          <w:b w:val="false"/>
          <w:bCs w:val="false"/>
          <w:i/>
        </w:rPr>
        <w:t xml:space="preserve">Institute of Energy Technologies: Theory and Simulation of Energy Materials </w:t>
      </w:r>
      <w:r>
        <w:rPr>
          <w:b w:val="false"/>
          <w:bCs w:val="false"/>
          <w:i/>
        </w:rPr>
        <w:t>(IET-3), Forschungszentrum Jülich GmbH, Germany</w:t>
      </w:r>
    </w:p>
    <w:p>
      <w:pPr>
        <w:pStyle w:val="Normal"/>
        <w:jc w:val="center"/>
        <w:rPr>
          <w:i/>
          <w:i/>
        </w:rPr>
      </w:pPr>
      <w:r>
        <w:rPr>
          <w:i/>
        </w:rPr>
        <w:t xml:space="preserve">e-mail address: </w:t>
      </w:r>
      <w:r>
        <w:rPr>
          <w:i/>
        </w:rPr>
        <w:t>p.kowalski@fz-juelich.de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left"/>
        <w:rPr/>
      </w:pPr>
      <w:r>
        <w:rPr/>
        <w:t>Powerful supercomputing resources enable large scale simulations of complex electrochemical interfaces at molecular-level</w:t>
      </w:r>
      <w:r>
        <w:rPr/>
        <w:t xml:space="preserve">. </w:t>
      </w:r>
      <w:r>
        <w:rPr/>
        <w:t xml:space="preserve">We will discuss a few cases of successful application of atomistic simulations conducted to support experimental effort aiming at understanding the performance of selected electrocatalysts and materials for batteries. </w:t>
      </w:r>
      <w:r>
        <w:rPr/>
        <w:t xml:space="preserve">In particular, we will demonstrate power of computational effort in interpreting XANES and EXAFS measurements on redox-active transition metal elements. These efforts enabled us to get insights into, </w:t>
      </w:r>
      <w:r>
        <w:rPr/>
        <w:t>for instance,</w:t>
      </w:r>
      <w:r>
        <w:rPr/>
        <w:t xml:space="preserve"> influence of spin states of active elements on efficiency of OER reaction and stability of selected candidate </w:t>
      </w:r>
      <w:r>
        <w:rPr/>
        <w:t>materials</w:t>
      </w:r>
      <w:r>
        <w:rPr/>
        <w:t xml:space="preserve"> for </w:t>
      </w:r>
      <w:r>
        <w:rPr/>
        <w:t>battery cathodes [1]</w:t>
      </w:r>
      <w:r>
        <w:rPr/>
        <w:t xml:space="preserve">. </w:t>
      </w:r>
      <w:r>
        <w:rPr/>
        <w:t>W</w:t>
      </w:r>
      <w:r>
        <w:rPr/>
        <w:t>hile discussing specific scientific cases, we</w:t>
      </w:r>
      <w:r>
        <w:rPr/>
        <w:t xml:space="preserve"> will </w:t>
      </w:r>
      <w:r>
        <w:rPr/>
        <w:t xml:space="preserve">outline </w:t>
      </w:r>
      <w:r>
        <w:rPr/>
        <w:t xml:space="preserve">difficulties and challenges faced by atomistic simulation effort </w:t>
      </w:r>
      <w:r>
        <w:rPr/>
        <w:t xml:space="preserve">and </w:t>
      </w:r>
      <w:r>
        <w:rPr/>
        <w:t xml:space="preserve">demonstrate that </w:t>
      </w:r>
      <w:r>
        <w:rPr/>
        <w:t xml:space="preserve">educative </w:t>
      </w:r>
      <w:r>
        <w:rPr/>
        <w:t xml:space="preserve">selection of accurate </w:t>
      </w:r>
      <w:r>
        <w:rPr/>
        <w:t xml:space="preserve">electronic structure </w:t>
      </w:r>
      <w:r>
        <w:rPr/>
        <w:t>computational methodology is essential to produce reliable results.</w:t>
      </w:r>
      <w:r>
        <w:rPr/>
        <w:t xml:space="preserve"> </w:t>
      </w:r>
      <w:r>
        <w:rPr/>
        <w:t xml:space="preserve">We will </w:t>
      </w:r>
      <w:r>
        <w:rPr/>
        <w:t xml:space="preserve">briefly discuss </w:t>
      </w:r>
      <w:r>
        <w:rPr/>
        <w:t>advantage of the advanced DFT+U computational scheme we develop and use, in which special attention is given to make the method parameter free and to realistically describe targeted d orbitals [2,3]</w:t>
      </w:r>
      <w:r>
        <w:rPr/>
        <w:t xml:space="preserve">. 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t xml:space="preserve">[1] He et al., </w:t>
      </w:r>
      <w:r>
        <w:rPr>
          <w:i/>
        </w:rPr>
        <w:t>Nat Commun</w:t>
      </w:r>
      <w:r>
        <w:rPr/>
        <w:t xml:space="preserve"> </w:t>
      </w:r>
      <w:r>
        <w:rPr>
          <w:b w:val="false"/>
          <w:bCs w:val="false"/>
        </w:rPr>
        <w:t>14</w:t>
      </w:r>
      <w:r>
        <w:rPr/>
        <w:t>, 3498 (2023)</w:t>
      </w:r>
    </w:p>
    <w:p>
      <w:pPr>
        <w:pStyle w:val="Normal"/>
        <w:jc w:val="left"/>
        <w:rPr/>
      </w:pPr>
      <w:r>
        <w:rPr/>
        <w:t xml:space="preserve">[2] Kowalski et al. </w:t>
      </w:r>
      <w:r>
        <w:rPr/>
        <w:t xml:space="preserve">Front. Energy Res. 9, 653542 9, 653542 </w:t>
      </w:r>
      <w:r>
        <w:rPr/>
        <w:t>(2021)</w:t>
      </w:r>
    </w:p>
    <w:p>
      <w:pPr>
        <w:pStyle w:val="Normal"/>
        <w:jc w:val="left"/>
        <w:rPr/>
      </w:pPr>
      <w:r>
        <w:rPr/>
        <w:t xml:space="preserve">[3] Warda et al. </w:t>
      </w:r>
      <w:r>
        <w:rPr>
          <w:i/>
          <w:iCs/>
        </w:rPr>
        <w:t>J.</w:t>
      </w:r>
      <w:r>
        <w:rPr>
          <w:i/>
        </w:rPr>
        <w:t xml:space="preserve"> Chem. Theory Comput.</w:t>
      </w:r>
      <w:r>
        <w:rPr/>
        <w:t xml:space="preserve"> 22, 1016–1029 </w:t>
      </w:r>
      <w:r>
        <w:rPr/>
        <w:t>(202</w:t>
      </w:r>
      <w:r>
        <w:rPr/>
        <w:t>6</w:t>
      </w:r>
      <w:r>
        <w:rPr/>
        <w:t>)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sectPr>
      <w:type w:val="nextPage"/>
      <w:pgSz w:w="11906" w:h="16838"/>
      <w:pgMar w:left="1701" w:right="1701" w:header="0" w:top="1701" w:footer="0" w:bottom="1701" w:gutter="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doNotHyphenateCaps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0716d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en-US" w:bidi="ar-SA"/>
    </w:rPr>
  </w:style>
  <w:style w:type="character" w:styleId="DefaultParagraphFont" w:default="1">
    <w:name w:val="Default Paragraph Font"/>
    <w:semiHidden/>
    <w:qFormat/>
    <w:rPr/>
  </w:style>
  <w:style w:type="character" w:styleId="FootnoteCharacters">
    <w:name w:val="Footnote Characters"/>
    <w:qFormat/>
    <w:rPr/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numbering" w:styleId="NoList" w:default="1">
    <w:name w:val="No List"/>
    <w:semiHidden/>
    <w:qFormat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LibreOffice/6.4.7.2$Linux_X86_64 LibreOffice_project/40$Build-2</Application>
  <Pages>1</Pages>
  <Words>228</Words>
  <Characters>1435</Characters>
  <CharactersWithSpaces>1655</CharactersWithSpaces>
  <Paragraphs>8</Paragraphs>
  <Company>Electrochemical Society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2021-03-10T13:20:00Z</dcterms:created>
  <dc:creator>Electrochemical</dc:creator>
  <dc:description/>
  <dc:language>en-US</dc:language>
  <cp:lastModifiedBy>Piotr Kowalski</cp:lastModifiedBy>
  <cp:lastPrinted>2013-10-21T12:07:00Z</cp:lastPrinted>
  <dcterms:modified xsi:type="dcterms:W3CDTF">2026-05-29T14:08:48Z</dcterms:modified>
  <cp:revision>3</cp:revision>
  <dc:subject/>
  <dc:title>Title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Electrochemical Society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