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7BF9" w14:textId="1BAF0D36" w:rsidR="00C0614D" w:rsidRDefault="00C0614D" w:rsidP="00C0614D">
      <w:pPr>
        <w:jc w:val="center"/>
        <w:rPr>
          <w:b/>
          <w:sz w:val="28"/>
        </w:rPr>
      </w:pPr>
      <w:r w:rsidRPr="00680A47">
        <w:rPr>
          <w:b/>
          <w:i/>
          <w:iCs/>
          <w:sz w:val="28"/>
        </w:rPr>
        <w:t>In situ</w:t>
      </w:r>
      <w:r w:rsidR="00127803">
        <w:rPr>
          <w:b/>
          <w:sz w:val="28"/>
        </w:rPr>
        <w:t xml:space="preserve"> </w:t>
      </w:r>
      <w:r>
        <w:rPr>
          <w:b/>
          <w:sz w:val="28"/>
        </w:rPr>
        <w:t xml:space="preserve">investigation </w:t>
      </w:r>
      <w:r w:rsidRPr="00EA18D9">
        <w:rPr>
          <w:b/>
          <w:sz w:val="28"/>
        </w:rPr>
        <w:t>of p</w:t>
      </w:r>
      <w:r>
        <w:rPr>
          <w:b/>
          <w:sz w:val="28"/>
        </w:rPr>
        <w:t>H</w:t>
      </w:r>
      <w:r w:rsidRPr="00EA18D9">
        <w:rPr>
          <w:b/>
          <w:sz w:val="28"/>
        </w:rPr>
        <w:t xml:space="preserve">-dependent </w:t>
      </w:r>
      <w:r>
        <w:rPr>
          <w:b/>
          <w:sz w:val="28"/>
        </w:rPr>
        <w:t xml:space="preserve">structural stability in </w:t>
      </w:r>
      <w:r w:rsidRPr="00EA18D9">
        <w:rPr>
          <w:b/>
          <w:sz w:val="28"/>
        </w:rPr>
        <w:t>transition metal oxide electrocatalysts</w:t>
      </w:r>
    </w:p>
    <w:p w14:paraId="2905BBA8" w14:textId="77777777" w:rsidR="00EA18D9" w:rsidRPr="00A86EB9" w:rsidRDefault="00EA18D9" w:rsidP="00E0716D">
      <w:pPr>
        <w:jc w:val="center"/>
        <w:rPr>
          <w:b/>
          <w:sz w:val="28"/>
        </w:rPr>
      </w:pPr>
    </w:p>
    <w:p w14:paraId="3351F2FD" w14:textId="328EE1EA" w:rsidR="00B13FFE" w:rsidRDefault="00EA18D9" w:rsidP="00E0716D">
      <w:pPr>
        <w:jc w:val="center"/>
        <w:rPr>
          <w:lang w:val="pt-BR"/>
        </w:rPr>
      </w:pPr>
      <w:r w:rsidRPr="00EA18D9">
        <w:rPr>
          <w:u w:val="single"/>
          <w:lang w:val="pt-BR"/>
        </w:rPr>
        <w:t>Pâmella S. Rodrigues</w:t>
      </w:r>
      <w:r>
        <w:rPr>
          <w:vertAlign w:val="superscript"/>
          <w:lang w:val="pt-BR"/>
        </w:rPr>
        <w:t>1</w:t>
      </w:r>
      <w:r w:rsidRPr="00EA18D9">
        <w:rPr>
          <w:lang w:val="pt-BR"/>
        </w:rPr>
        <w:t>, Yi-Hsuan Wu</w:t>
      </w:r>
      <w:r>
        <w:rPr>
          <w:vertAlign w:val="superscript"/>
          <w:lang w:val="pt-BR"/>
        </w:rPr>
        <w:t>2</w:t>
      </w:r>
      <w:r w:rsidRPr="00EA18D9">
        <w:rPr>
          <w:lang w:val="pt-BR"/>
        </w:rPr>
        <w:t>, Ant</w:t>
      </w:r>
      <w:r w:rsidR="00127803">
        <w:rPr>
          <w:lang w:val="pt-BR"/>
        </w:rPr>
        <w:t>o</w:t>
      </w:r>
      <w:r w:rsidRPr="00EA18D9">
        <w:rPr>
          <w:lang w:val="pt-BR"/>
        </w:rPr>
        <w:t>nio C</w:t>
      </w:r>
      <w:r w:rsidR="00127803">
        <w:rPr>
          <w:lang w:val="pt-BR"/>
        </w:rPr>
        <w:t>.</w:t>
      </w:r>
      <w:r w:rsidRPr="00EA18D9">
        <w:rPr>
          <w:lang w:val="pt-BR"/>
        </w:rPr>
        <w:t xml:space="preserve"> Roveda Jr.</w:t>
      </w:r>
      <w:r>
        <w:rPr>
          <w:vertAlign w:val="superscript"/>
          <w:lang w:val="pt-BR"/>
        </w:rPr>
        <w:t>1</w:t>
      </w:r>
      <w:r w:rsidRPr="00EA18D9">
        <w:rPr>
          <w:lang w:val="pt-BR"/>
        </w:rPr>
        <w:t>, Serhiy Cherevko</w:t>
      </w:r>
      <w:r>
        <w:rPr>
          <w:vertAlign w:val="superscript"/>
          <w:lang w:val="pt-BR"/>
        </w:rPr>
        <w:t>2</w:t>
      </w:r>
      <w:r w:rsidRPr="00EA18D9">
        <w:rPr>
          <w:lang w:val="pt-BR"/>
        </w:rPr>
        <w:t xml:space="preserve">, </w:t>
      </w:r>
    </w:p>
    <w:p w14:paraId="5D13D5A6" w14:textId="44BD7583" w:rsidR="00325004" w:rsidRPr="00EA18D9" w:rsidRDefault="00AD119E" w:rsidP="00E0716D">
      <w:pPr>
        <w:jc w:val="center"/>
        <w:rPr>
          <w:lang w:val="pt-BR"/>
        </w:rPr>
      </w:pPr>
      <w:r w:rsidRPr="00EA18D9">
        <w:rPr>
          <w:lang w:val="pt-BR"/>
        </w:rPr>
        <w:t>Edson A. Ticianelli</w:t>
      </w:r>
      <w:r>
        <w:rPr>
          <w:vertAlign w:val="superscript"/>
          <w:lang w:val="pt-BR"/>
        </w:rPr>
        <w:t>1</w:t>
      </w:r>
      <w:r>
        <w:rPr>
          <w:lang w:val="pt-BR"/>
        </w:rPr>
        <w:t xml:space="preserve">, </w:t>
      </w:r>
      <w:r w:rsidR="00EA18D9" w:rsidRPr="00EA18D9">
        <w:rPr>
          <w:lang w:val="pt-BR"/>
        </w:rPr>
        <w:t>Gabriel C. da Silva</w:t>
      </w:r>
      <w:r w:rsidR="00EA18D9">
        <w:rPr>
          <w:vertAlign w:val="superscript"/>
          <w:lang w:val="pt-BR"/>
        </w:rPr>
        <w:t>2,3</w:t>
      </w:r>
      <w:r w:rsidR="00EA18D9" w:rsidRPr="00EA18D9">
        <w:rPr>
          <w:lang w:val="pt-BR"/>
        </w:rPr>
        <w:t xml:space="preserve"> </w:t>
      </w:r>
    </w:p>
    <w:p w14:paraId="55B12743" w14:textId="0E434A58" w:rsidR="00EA18D9" w:rsidRPr="00EA18D9" w:rsidRDefault="00EA18D9" w:rsidP="00EA18D9">
      <w:pPr>
        <w:jc w:val="center"/>
        <w:rPr>
          <w:i/>
          <w:lang w:val="pt-BR"/>
        </w:rPr>
      </w:pPr>
      <w:r>
        <w:rPr>
          <w:i/>
          <w:vertAlign w:val="superscript"/>
          <w:lang w:val="pt-BR"/>
        </w:rPr>
        <w:t>1</w:t>
      </w:r>
      <w:r w:rsidRPr="00EA18D9">
        <w:rPr>
          <w:i/>
          <w:lang w:val="pt-BR"/>
        </w:rPr>
        <w:t>São Carlos Institute of Chemistry, University of São Paulo, São Carlos, Brazil</w:t>
      </w:r>
    </w:p>
    <w:p w14:paraId="083C29C8" w14:textId="780D67A7" w:rsidR="00EA18D9" w:rsidRPr="00C00410" w:rsidRDefault="00EA18D9" w:rsidP="00EA18D9">
      <w:pPr>
        <w:jc w:val="center"/>
        <w:rPr>
          <w:i/>
          <w:lang w:val="de-DE"/>
        </w:rPr>
      </w:pPr>
      <w:r w:rsidRPr="00C00410">
        <w:rPr>
          <w:i/>
          <w:vertAlign w:val="superscript"/>
          <w:lang w:val="de-DE"/>
        </w:rPr>
        <w:t>2</w:t>
      </w:r>
      <w:r w:rsidRPr="00C00410">
        <w:rPr>
          <w:i/>
          <w:lang w:val="de-DE"/>
        </w:rPr>
        <w:t>Helmholtz-Institute Erlangen-Nürnberg for Renewable Energy</w:t>
      </w:r>
      <w:r w:rsidR="00C00410">
        <w:rPr>
          <w:i/>
          <w:lang w:val="de-DE"/>
        </w:rPr>
        <w:t xml:space="preserve"> (IET-2)</w:t>
      </w:r>
      <w:r w:rsidRPr="00C00410">
        <w:rPr>
          <w:i/>
          <w:lang w:val="de-DE"/>
        </w:rPr>
        <w:t>, Forschungszentrum Jülich GmbH, Erlangen, Germany</w:t>
      </w:r>
    </w:p>
    <w:p w14:paraId="6C2A76BD" w14:textId="7BAF47A3" w:rsidR="00EA18D9" w:rsidRDefault="00EA18D9" w:rsidP="00EA18D9">
      <w:pPr>
        <w:jc w:val="center"/>
        <w:rPr>
          <w:i/>
        </w:rPr>
      </w:pPr>
      <w:r>
        <w:rPr>
          <w:i/>
          <w:vertAlign w:val="superscript"/>
        </w:rPr>
        <w:t>3</w:t>
      </w:r>
      <w:r w:rsidRPr="00EA18D9">
        <w:rPr>
          <w:i/>
        </w:rPr>
        <w:t>Department of Chemistry, Federal University of Viçosa, Viçosa, Brazil</w:t>
      </w:r>
    </w:p>
    <w:p w14:paraId="05CFA36B" w14:textId="4239D701" w:rsidR="00685C1A" w:rsidRPr="00685C1A" w:rsidRDefault="00EA18D9" w:rsidP="00EA18D9">
      <w:pPr>
        <w:jc w:val="center"/>
        <w:rPr>
          <w:i/>
        </w:rPr>
      </w:pPr>
      <w:r>
        <w:rPr>
          <w:i/>
        </w:rPr>
        <w:t>pamellarodrigues@usp.br</w:t>
      </w:r>
    </w:p>
    <w:p w14:paraId="09BCF9F2" w14:textId="77777777" w:rsidR="00325004" w:rsidRDefault="00325004" w:rsidP="00E0716D">
      <w:pPr>
        <w:jc w:val="center"/>
      </w:pPr>
    </w:p>
    <w:p w14:paraId="7775AC10" w14:textId="428505D0" w:rsidR="003C6898" w:rsidRDefault="003C6898" w:rsidP="00D4280F">
      <w:pPr>
        <w:ind w:firstLine="720"/>
        <w:jc w:val="both"/>
      </w:pPr>
      <w:r>
        <w:t>The oxygen evolution reaction (OER) remains one of the major limitations for efficient water electrolysis due to its sluggish kinetics and the poor stability of most electrocatalysts under anodic potentials.</w:t>
      </w:r>
      <w:r w:rsidRPr="00C37174">
        <w:rPr>
          <w:vertAlign w:val="superscript"/>
        </w:rPr>
        <w:t xml:space="preserve">[1] </w:t>
      </w:r>
      <w:r w:rsidR="00D4280F">
        <w:t>While</w:t>
      </w:r>
      <w:r w:rsidR="00F84C31">
        <w:t xml:space="preserve"> </w:t>
      </w:r>
      <w:r w:rsidR="00D4280F" w:rsidRPr="003C6898">
        <w:t>proton exchange membrane water electrolysis (PEMWE)</w:t>
      </w:r>
      <w:r w:rsidRPr="003C6898">
        <w:t xml:space="preserve"> offers </w:t>
      </w:r>
      <w:r w:rsidR="00D4280F">
        <w:t xml:space="preserve">some operational </w:t>
      </w:r>
      <w:r w:rsidRPr="003C6898">
        <w:t>advantages</w:t>
      </w:r>
      <w:r w:rsidR="00D4280F">
        <w:t xml:space="preserve"> (e.g. </w:t>
      </w:r>
      <w:r w:rsidRPr="003C6898">
        <w:t>high current densities</w:t>
      </w:r>
      <w:r w:rsidR="00D4280F">
        <w:t xml:space="preserve"> and</w:t>
      </w:r>
      <w:r w:rsidRPr="003C6898">
        <w:t xml:space="preserve"> ionic conductivity</w:t>
      </w:r>
      <w:r w:rsidR="00D4280F">
        <w:t>)</w:t>
      </w:r>
      <w:r w:rsidR="00C963EA">
        <w:rPr>
          <w:vertAlign w:val="superscript"/>
        </w:rPr>
        <w:t>[2]</w:t>
      </w:r>
      <w:r w:rsidR="00D4280F">
        <w:t xml:space="preserve">, </w:t>
      </w:r>
      <w:r w:rsidR="00DE697F" w:rsidRPr="00FF60E1">
        <w:t>the highly oxidative environment restricts the number of stable catalyst materials</w:t>
      </w:r>
      <w:r w:rsidR="00DE697F">
        <w:t xml:space="preserve">, </w:t>
      </w:r>
      <w:r w:rsidR="00DE697F" w:rsidRPr="00FF60E1">
        <w:t>and</w:t>
      </w:r>
      <w:r w:rsidR="00D4280F">
        <w:t xml:space="preserve"> </w:t>
      </w:r>
      <w:r w:rsidR="00DE697F" w:rsidRPr="00FF60E1">
        <w:t xml:space="preserve"> iridium oxides (IrO</w:t>
      </w:r>
      <w:r w:rsidR="00DE697F" w:rsidRPr="00056821">
        <w:rPr>
          <w:vertAlign w:val="subscript"/>
        </w:rPr>
        <w:t>x</w:t>
      </w:r>
      <w:r w:rsidR="00DE697F" w:rsidRPr="00FF60E1">
        <w:t xml:space="preserve">) are widely regarded as benchmark catalysts </w:t>
      </w:r>
      <w:r w:rsidR="00C25954">
        <w:t xml:space="preserve">due to </w:t>
      </w:r>
      <w:r w:rsidR="00DE697F" w:rsidRPr="00FF60E1">
        <w:t>their high activity and durability</w:t>
      </w:r>
      <w:r w:rsidR="00DE697F">
        <w:t>.</w:t>
      </w:r>
      <w:r w:rsidR="00F84C31">
        <w:rPr>
          <w:vertAlign w:val="superscript"/>
        </w:rPr>
        <w:t>[3]</w:t>
      </w:r>
      <w:r w:rsidR="00AF441B">
        <w:t xml:space="preserve"> </w:t>
      </w:r>
      <w:r w:rsidRPr="003C6898">
        <w:t xml:space="preserve">In contrast, </w:t>
      </w:r>
      <w:r w:rsidR="00D4280F" w:rsidRPr="00D4280F">
        <w:t xml:space="preserve">anion exchange membrane water electrolysis (AEMWE) </w:t>
      </w:r>
      <w:r w:rsidR="00D4280F">
        <w:t>e</w:t>
      </w:r>
      <w:r w:rsidRPr="003C6898">
        <w:t>nables the use of catalysts based on earth-abundant transition metals</w:t>
      </w:r>
      <w:r w:rsidR="00DE697F">
        <w:t xml:space="preserve"> (such as Co, Ni, Fe)</w:t>
      </w:r>
      <w:r w:rsidRPr="003C6898">
        <w:t xml:space="preserve">, although catalyst activity </w:t>
      </w:r>
      <w:r w:rsidR="00E738B3">
        <w:t xml:space="preserve">and long-term stability </w:t>
      </w:r>
      <w:r w:rsidRPr="003C6898">
        <w:t>remain critical challenges.</w:t>
      </w:r>
      <w:r w:rsidR="00DE697F">
        <w:rPr>
          <w:vertAlign w:val="superscript"/>
        </w:rPr>
        <w:t>[</w:t>
      </w:r>
      <w:r w:rsidR="00F84C31">
        <w:rPr>
          <w:vertAlign w:val="superscript"/>
        </w:rPr>
        <w:t>2</w:t>
      </w:r>
      <w:r w:rsidR="00DE697F">
        <w:rPr>
          <w:vertAlign w:val="superscript"/>
        </w:rPr>
        <w:t>]</w:t>
      </w:r>
      <w:r w:rsidR="00AF441B">
        <w:t xml:space="preserve"> O</w:t>
      </w:r>
      <w:r w:rsidR="00C37174" w:rsidRPr="00C37174">
        <w:t xml:space="preserve">ne promising approach </w:t>
      </w:r>
      <w:r w:rsidR="00B54E59">
        <w:t>is the</w:t>
      </w:r>
      <w:r w:rsidR="00C37174" w:rsidRPr="00C37174">
        <w:t xml:space="preserve"> </w:t>
      </w:r>
      <w:r w:rsidR="00606F5E">
        <w:t>incorporati</w:t>
      </w:r>
      <w:r w:rsidR="00B54E59">
        <w:t>on of</w:t>
      </w:r>
      <w:r w:rsidR="00C37174" w:rsidRPr="00C37174">
        <w:t xml:space="preserve"> </w:t>
      </w:r>
      <w:r w:rsidR="005B1333">
        <w:t>low</w:t>
      </w:r>
      <w:r w:rsidR="00B54E59">
        <w:t xml:space="preserve"> Ir</w:t>
      </w:r>
      <w:r w:rsidR="005B1333">
        <w:t xml:space="preserve"> loading</w:t>
      </w:r>
      <w:r>
        <w:t>s</w:t>
      </w:r>
      <w:r w:rsidR="005B1333">
        <w:t xml:space="preserve"> </w:t>
      </w:r>
      <w:r w:rsidR="005C1DEC">
        <w:t xml:space="preserve">into </w:t>
      </w:r>
      <w:r w:rsidR="00C37174" w:rsidRPr="00C37174">
        <w:t>transition-metal oxides, combining the favorable properties of both component</w:t>
      </w:r>
      <w:r>
        <w:t>s.</w:t>
      </w:r>
      <w:r w:rsidR="00DE697F">
        <w:rPr>
          <w:vertAlign w:val="superscript"/>
        </w:rPr>
        <w:t>[4]</w:t>
      </w:r>
      <w:r w:rsidR="00DE697F">
        <w:t xml:space="preserve"> </w:t>
      </w:r>
      <w:r w:rsidRPr="003C6898">
        <w:t>Such composite materials may reduce Ir consumption in PEMWE systems while simultaneously improving catalytic activity in alkaline media. However</w:t>
      </w:r>
      <w:r>
        <w:t>,</w:t>
      </w:r>
      <w:r w:rsidRPr="003C6898">
        <w:t xml:space="preserve"> the influence of pH on structural </w:t>
      </w:r>
      <w:r>
        <w:t xml:space="preserve">stability </w:t>
      </w:r>
      <w:r w:rsidRPr="003C6898">
        <w:t>remains poorly understood</w:t>
      </w:r>
      <w:r w:rsidR="006E5901">
        <w:t xml:space="preserve">, </w:t>
      </w:r>
      <w:r w:rsidR="006E5901" w:rsidRPr="006E5901">
        <w:t xml:space="preserve">particularly regarding how low Ir loadings influence </w:t>
      </w:r>
      <w:r w:rsidR="00DA3407">
        <w:t xml:space="preserve">the </w:t>
      </w:r>
      <w:r w:rsidR="006E5901" w:rsidRPr="006E5901">
        <w:t>active</w:t>
      </w:r>
      <w:r w:rsidR="00DA3407">
        <w:t xml:space="preserve"> site</w:t>
      </w:r>
      <w:r w:rsidR="006E5901" w:rsidRPr="006E5901">
        <w:t xml:space="preserve"> phase formation and metal dissolution processes.</w:t>
      </w:r>
    </w:p>
    <w:p w14:paraId="7897455A" w14:textId="5E2FD269" w:rsidR="0056566D" w:rsidRPr="00C0614D" w:rsidRDefault="00EA18D9" w:rsidP="00C0614D">
      <w:pPr>
        <w:ind w:firstLine="720"/>
        <w:jc w:val="both"/>
      </w:pPr>
      <w:r>
        <w:t>In this work, we investigate the structural evolution and degradation behavior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IrO</w:t>
      </w:r>
      <w:r w:rsidRPr="00EA18D9">
        <w:rPr>
          <w:vertAlign w:val="subscript"/>
        </w:rPr>
        <w:t>x</w:t>
      </w:r>
      <w:r>
        <w:t>, and IrO</w:t>
      </w:r>
      <w:r>
        <w:rPr>
          <w:vertAlign w:val="subscript"/>
        </w:rPr>
        <w:t>x</w:t>
      </w:r>
      <w:r>
        <w:t>-Co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 xml:space="preserve">4 </w:t>
      </w:r>
      <w:r>
        <w:t>composite catalysts under acidic</w:t>
      </w:r>
      <w:r w:rsidR="00C0614D">
        <w:t xml:space="preserve"> and alkaline </w:t>
      </w:r>
      <w:r>
        <w:t>conditions</w:t>
      </w:r>
      <w:r w:rsidR="0056566D">
        <w:t xml:space="preserve"> </w:t>
      </w:r>
      <w:r w:rsidR="0056566D" w:rsidRPr="0056566D">
        <w:t xml:space="preserve">by combining </w:t>
      </w:r>
      <w:r w:rsidR="0056566D" w:rsidRPr="0056566D">
        <w:rPr>
          <w:i/>
          <w:iCs/>
        </w:rPr>
        <w:t>in situ</w:t>
      </w:r>
      <w:r w:rsidR="0056566D" w:rsidRPr="0056566D">
        <w:t xml:space="preserve"> Raman spectroscopy with </w:t>
      </w:r>
      <w:r w:rsidR="0056566D" w:rsidRPr="0056566D">
        <w:rPr>
          <w:i/>
          <w:iCs/>
        </w:rPr>
        <w:t xml:space="preserve">online </w:t>
      </w:r>
      <w:r w:rsidR="0056566D" w:rsidRPr="0056566D">
        <w:t>electrochemical ICP-MS dissolution analysis.</w:t>
      </w:r>
      <w:r w:rsidR="007777C6">
        <w:t xml:space="preserve"> </w:t>
      </w:r>
      <w:r>
        <w:t xml:space="preserve">The catalysts were synthesized </w:t>
      </w:r>
      <w:r w:rsidR="005C1DEC">
        <w:t>via</w:t>
      </w:r>
      <w:r>
        <w:t xml:space="preserve"> a hydrothermal route and characterized by XRD, TEM, XPS,</w:t>
      </w:r>
      <w:r w:rsidR="001C2941">
        <w:t xml:space="preserve"> and</w:t>
      </w:r>
      <w:r>
        <w:t xml:space="preserve"> BET</w:t>
      </w:r>
      <w:r w:rsidR="005C1DEC">
        <w:t xml:space="preserve"> measurements</w:t>
      </w:r>
      <w:r>
        <w:t>. Structural characterization</w:t>
      </w:r>
      <w:r w:rsidR="0056566D">
        <w:t xml:space="preserve"> </w:t>
      </w:r>
      <w:r>
        <w:t>revealed that IrO</w:t>
      </w:r>
      <w:r w:rsidRPr="00A12579">
        <w:rPr>
          <w:vertAlign w:val="subscript"/>
        </w:rPr>
        <w:t>x</w:t>
      </w:r>
      <w:r>
        <w:t xml:space="preserve"> is incorporated </w:t>
      </w:r>
      <w:r w:rsidR="009D26CD">
        <w:t xml:space="preserve">into </w:t>
      </w:r>
      <w:r w:rsidR="00A12579">
        <w:t>Co</w:t>
      </w:r>
      <w:r w:rsidR="00A12579">
        <w:rPr>
          <w:vertAlign w:val="subscript"/>
        </w:rPr>
        <w:t>3</w:t>
      </w:r>
      <w:r w:rsidR="00A12579">
        <w:t>O</w:t>
      </w:r>
      <w:r w:rsidR="00A12579">
        <w:rPr>
          <w:vertAlign w:val="subscript"/>
        </w:rPr>
        <w:t xml:space="preserve">4 </w:t>
      </w:r>
      <w:r>
        <w:t xml:space="preserve">without disrupting the spinel structure. Electrochemical measurements demonstrated that Ir </w:t>
      </w:r>
      <w:r w:rsidR="00B54E59">
        <w:t xml:space="preserve">incorporation </w:t>
      </w:r>
      <w:r>
        <w:t xml:space="preserve">improves the OER activity, particularly in acidic electrolyte, shifting the OER </w:t>
      </w:r>
      <w:r w:rsidRPr="00A12579">
        <w:t>onset</w:t>
      </w:r>
      <w:r>
        <w:t xml:space="preserve"> potential</w:t>
      </w:r>
      <w:r w:rsidR="001C2941">
        <w:t xml:space="preserve"> </w:t>
      </w:r>
      <w:r w:rsidR="00EE1B3F">
        <w:t>and indicat</w:t>
      </w:r>
      <w:r w:rsidR="005C1DEC">
        <w:t>ing</w:t>
      </w:r>
      <w:r w:rsidR="00EE1B3F">
        <w:t xml:space="preserve"> that the </w:t>
      </w:r>
      <w:r>
        <w:t>OER kinetics of the composites become dominated by Ir</w:t>
      </w:r>
      <w:r w:rsidR="001C2941">
        <w:t xml:space="preserve"> </w:t>
      </w:r>
      <w:r>
        <w:t xml:space="preserve">active sites even at low Ir </w:t>
      </w:r>
      <w:r w:rsidR="00EE1B3F">
        <w:t>loadings</w:t>
      </w:r>
      <w:r>
        <w:t>.</w:t>
      </w:r>
      <w:r w:rsidR="00A12579">
        <w:t xml:space="preserve"> </w:t>
      </w:r>
      <w:r w:rsidR="00C0614D">
        <w:t xml:space="preserve"> </w:t>
      </w:r>
      <w:r w:rsidR="00C0614D" w:rsidRPr="0056566D">
        <w:rPr>
          <w:i/>
          <w:iCs/>
        </w:rPr>
        <w:t>In situ</w:t>
      </w:r>
      <w:r w:rsidR="00C0614D" w:rsidRPr="0056566D">
        <w:t xml:space="preserve"> Raman spectroscopy </w:t>
      </w:r>
      <w:r w:rsidR="00B54E59">
        <w:t>showed</w:t>
      </w:r>
      <w:r w:rsidR="00C0614D" w:rsidRPr="0056566D">
        <w:t xml:space="preserve"> that pristine </w:t>
      </w:r>
      <w:r w:rsidR="00C0614D">
        <w:t>Co</w:t>
      </w:r>
      <w:r w:rsidR="00C0614D">
        <w:rPr>
          <w:vertAlign w:val="subscript"/>
        </w:rPr>
        <w:t>3</w:t>
      </w:r>
      <w:r w:rsidR="00C0614D">
        <w:t>O</w:t>
      </w:r>
      <w:r w:rsidR="00C0614D">
        <w:rPr>
          <w:vertAlign w:val="subscript"/>
        </w:rPr>
        <w:t xml:space="preserve">4 </w:t>
      </w:r>
      <w:r w:rsidR="00C0614D" w:rsidRPr="0056566D">
        <w:t>undergoes structural reconstruction</w:t>
      </w:r>
      <w:r w:rsidR="00C0614D">
        <w:t xml:space="preserve"> in both conditions</w:t>
      </w:r>
      <w:r w:rsidR="00C0614D" w:rsidRPr="0056566D">
        <w:t xml:space="preserve">, with progressive attenuation of spinel Raman modes and formation of highly oxidized cobalt species prior to OER. </w:t>
      </w:r>
      <w:r w:rsidR="008E4F4A">
        <w:t>Under acid conditions</w:t>
      </w:r>
      <w:r w:rsidR="0056566D" w:rsidRPr="0056566D">
        <w:t xml:space="preserve">, </w:t>
      </w:r>
      <w:r w:rsidR="008E4F4A">
        <w:t xml:space="preserve">the </w:t>
      </w:r>
      <w:r w:rsidR="00DA3B47">
        <w:t>activity</w:t>
      </w:r>
      <w:r w:rsidR="008E4F4A">
        <w:t xml:space="preserve"> of IrO</w:t>
      </w:r>
      <w:r w:rsidR="008E4F4A">
        <w:rPr>
          <w:vertAlign w:val="subscript"/>
        </w:rPr>
        <w:t>x</w:t>
      </w:r>
      <w:r w:rsidR="008E4F4A">
        <w:t>-Co</w:t>
      </w:r>
      <w:r w:rsidR="008E4F4A">
        <w:rPr>
          <w:vertAlign w:val="subscript"/>
        </w:rPr>
        <w:t>3</w:t>
      </w:r>
      <w:r w:rsidR="008E4F4A">
        <w:t>O</w:t>
      </w:r>
      <w:r w:rsidR="008E4F4A">
        <w:rPr>
          <w:vertAlign w:val="subscript"/>
        </w:rPr>
        <w:t>4</w:t>
      </w:r>
      <w:r w:rsidR="008E4F4A">
        <w:t xml:space="preserve"> </w:t>
      </w:r>
      <w:r w:rsidR="00DE697F">
        <w:t>is</w:t>
      </w:r>
      <w:r w:rsidR="008E4F4A">
        <w:t xml:space="preserve"> dictated by Ir</w:t>
      </w:r>
      <w:r w:rsidR="00DA3B47">
        <w:t xml:space="preserve"> </w:t>
      </w:r>
      <w:r w:rsidR="008E4F4A">
        <w:t xml:space="preserve">activity sites, and the </w:t>
      </w:r>
      <w:r w:rsidR="0056566D" w:rsidRPr="0056566D">
        <w:t xml:space="preserve">Raman spectra </w:t>
      </w:r>
      <w:r w:rsidR="00DA3B47">
        <w:t xml:space="preserve">confirms the </w:t>
      </w:r>
      <w:r w:rsidR="001C2941" w:rsidRPr="001C2941">
        <w:t xml:space="preserve">vibrational modes </w:t>
      </w:r>
      <w:r w:rsidR="00B54E59">
        <w:t xml:space="preserve">associated with </w:t>
      </w:r>
      <w:r w:rsidR="001C2941" w:rsidRPr="001C2941">
        <w:t xml:space="preserve">Ir-O bonds </w:t>
      </w:r>
      <w:r w:rsidR="00B54E59">
        <w:t>and</w:t>
      </w:r>
      <w:r w:rsidR="001C2941" w:rsidRPr="001C2941">
        <w:t xml:space="preserve"> with the formation of high-valen</w:t>
      </w:r>
      <w:r w:rsidR="00B54E59">
        <w:t>ce</w:t>
      </w:r>
      <w:r w:rsidR="001C2941" w:rsidRPr="001C2941">
        <w:t xml:space="preserve"> Ir species</w:t>
      </w:r>
      <w:r w:rsidR="00DA3B47">
        <w:t xml:space="preserve"> prior OER</w:t>
      </w:r>
      <w:r w:rsidR="001C2941">
        <w:t xml:space="preserve">. </w:t>
      </w:r>
      <w:r w:rsidR="0056566D" w:rsidRPr="00606F5E">
        <w:rPr>
          <w:i/>
          <w:iCs/>
        </w:rPr>
        <w:t>Online</w:t>
      </w:r>
      <w:r w:rsidR="0056566D" w:rsidRPr="0056566D">
        <w:t xml:space="preserve"> ICP-MS measurements directly correlated these </w:t>
      </w:r>
      <w:r w:rsidR="00B54E59">
        <w:t xml:space="preserve">structural </w:t>
      </w:r>
      <w:r w:rsidR="0056566D" w:rsidRPr="0056566D">
        <w:t>transformations with metal dissolution processes</w:t>
      </w:r>
      <w:r w:rsidR="001C2941">
        <w:t xml:space="preserve">, </w:t>
      </w:r>
      <w:r w:rsidR="005C1DEC">
        <w:t xml:space="preserve">showing that Ir </w:t>
      </w:r>
      <w:r w:rsidR="00D97D17" w:rsidRPr="00D97D17">
        <w:t>incorporation alter</w:t>
      </w:r>
      <w:r w:rsidR="005C1DEC">
        <w:t>s</w:t>
      </w:r>
      <w:r w:rsidR="00D97D17" w:rsidRPr="00D97D17">
        <w:t xml:space="preserve"> the dissolution pathways and </w:t>
      </w:r>
      <w:r w:rsidR="005C1DEC" w:rsidRPr="005C1DEC">
        <w:t>promotes further Ir instability</w:t>
      </w:r>
      <w:r w:rsidR="00885498">
        <w:t>.</w:t>
      </w:r>
      <w:r w:rsidR="00D97D17" w:rsidRPr="00D97D17">
        <w:t xml:space="preserve"> </w:t>
      </w:r>
      <w:r w:rsidR="008E4F4A">
        <w:t xml:space="preserve">In </w:t>
      </w:r>
      <w:r w:rsidR="00DA3B47">
        <w:t>the other hand</w:t>
      </w:r>
      <w:r w:rsidR="008E4F4A">
        <w:t>, u</w:t>
      </w:r>
      <w:r w:rsidR="0056566D" w:rsidRPr="0056566D">
        <w:t xml:space="preserve">nder alkaline conditions, </w:t>
      </w:r>
      <w:r w:rsidR="008E4F4A">
        <w:t>the formation of CoO(OH)</w:t>
      </w:r>
      <w:r w:rsidR="008E4F4A" w:rsidRPr="008E4F4A">
        <w:rPr>
          <w:vertAlign w:val="subscript"/>
        </w:rPr>
        <w:t>x</w:t>
      </w:r>
      <w:r w:rsidR="008E4F4A">
        <w:t xml:space="preserve"> becomes kinetically relevant, </w:t>
      </w:r>
      <w:r w:rsidR="008E4F4A" w:rsidRPr="00D77136">
        <w:t>leading to a mixed catalytic behavior involving both Ir- and Co- active sites</w:t>
      </w:r>
      <w:r w:rsidR="008E4F4A">
        <w:t xml:space="preserve">. In this case, </w:t>
      </w:r>
      <w:r w:rsidR="0056566D" w:rsidRPr="0056566D">
        <w:t xml:space="preserve">Co </w:t>
      </w:r>
      <w:r w:rsidR="005C1DEC">
        <w:t>remain</w:t>
      </w:r>
      <w:r w:rsidR="00B54E59">
        <w:t>ed</w:t>
      </w:r>
      <w:r w:rsidR="0056566D">
        <w:t xml:space="preserve"> </w:t>
      </w:r>
      <w:r w:rsidR="00EE1B3F">
        <w:t>stable</w:t>
      </w:r>
      <w:r w:rsidR="00D97D17">
        <w:t xml:space="preserve"> </w:t>
      </w:r>
      <w:r w:rsidR="008E4F4A">
        <w:t xml:space="preserve">and </w:t>
      </w:r>
      <w:r w:rsidR="0056566D" w:rsidRPr="0056566D">
        <w:t xml:space="preserve">Ir dissolution </w:t>
      </w:r>
      <w:r w:rsidR="00B54E59">
        <w:t>was</w:t>
      </w:r>
      <w:r w:rsidR="008E4F4A">
        <w:t xml:space="preserve"> driven by the OER process</w:t>
      </w:r>
      <w:r w:rsidR="0056566D" w:rsidRPr="0056566D">
        <w:t xml:space="preserve">. </w:t>
      </w:r>
      <w:r w:rsidR="00B54E59">
        <w:t>Overall, o</w:t>
      </w:r>
      <w:r w:rsidR="00D97D17">
        <w:t xml:space="preserve">ur results </w:t>
      </w:r>
      <w:r w:rsidR="00D97D17" w:rsidRPr="00D97D17">
        <w:t>highlight the pH-</w:t>
      </w:r>
      <w:r w:rsidR="00003D92" w:rsidRPr="00D97D17">
        <w:t>dependence</w:t>
      </w:r>
      <w:r w:rsidR="00D97D17" w:rsidRPr="00D97D17">
        <w:t xml:space="preserve"> of catalyst structural evolution, suggesting distinct active phases and degradation pathways under acidic and alkaline conditions. </w:t>
      </w:r>
      <w:r w:rsidR="005C1DEC" w:rsidRPr="005C1DEC">
        <w:t xml:space="preserve">These findings </w:t>
      </w:r>
      <w:r w:rsidR="00885498">
        <w:t>provide</w:t>
      </w:r>
      <w:r w:rsidR="005C1DEC" w:rsidRPr="005C1DEC">
        <w:t xml:space="preserve"> </w:t>
      </w:r>
      <w:r w:rsidR="000A0694">
        <w:t xml:space="preserve">an understanding </w:t>
      </w:r>
      <w:r w:rsidR="00B13FFE">
        <w:t xml:space="preserve">of the </w:t>
      </w:r>
      <w:r w:rsidR="005C1DEC">
        <w:t>relationship</w:t>
      </w:r>
      <w:r w:rsidR="005C1DEC" w:rsidRPr="005C1DEC">
        <w:t xml:space="preserve"> between </w:t>
      </w:r>
      <w:r w:rsidR="00885498" w:rsidRPr="00885498">
        <w:rPr>
          <w:i/>
          <w:iCs/>
        </w:rPr>
        <w:t>in situ</w:t>
      </w:r>
      <w:r w:rsidR="00885498">
        <w:t xml:space="preserve"> </w:t>
      </w:r>
      <w:r w:rsidR="00885498" w:rsidRPr="0056566D">
        <w:t>active phase formation and dissolution processes</w:t>
      </w:r>
      <w:r w:rsidR="005C1DEC" w:rsidRPr="005C1DEC">
        <w:t>, offering guidelines for the rational design of low-Ir OER electrocatalysts across different pH environments</w:t>
      </w:r>
      <w:r w:rsidR="00B54E59">
        <w:t>.</w:t>
      </w:r>
    </w:p>
    <w:p w14:paraId="37B35BE9" w14:textId="77777777" w:rsidR="0056566D" w:rsidRDefault="0056566D" w:rsidP="0056566D">
      <w:pPr>
        <w:ind w:firstLine="720"/>
        <w:jc w:val="both"/>
      </w:pPr>
    </w:p>
    <w:p w14:paraId="2B5D990A" w14:textId="77777777" w:rsidR="0056566D" w:rsidRDefault="0056566D" w:rsidP="00EA18D9">
      <w:pPr>
        <w:jc w:val="both"/>
      </w:pPr>
    </w:p>
    <w:p w14:paraId="6595571C" w14:textId="229F90C1" w:rsidR="00EA18D9" w:rsidRDefault="00EA18D9" w:rsidP="00EA18D9">
      <w:pPr>
        <w:jc w:val="both"/>
        <w:rPr>
          <w:b/>
          <w:bCs/>
        </w:rPr>
      </w:pPr>
      <w:r w:rsidRPr="00EA18D9">
        <w:rPr>
          <w:b/>
          <w:bCs/>
        </w:rPr>
        <w:t>References</w:t>
      </w:r>
    </w:p>
    <w:p w14:paraId="4FBE2ABE" w14:textId="67E2A75A" w:rsidR="00E106CD" w:rsidRDefault="00E106CD" w:rsidP="00606F5E">
      <w:pPr>
        <w:jc w:val="both"/>
      </w:pPr>
      <w:r w:rsidRPr="00E106CD">
        <w:t>[1]</w:t>
      </w:r>
      <w:r>
        <w:t xml:space="preserve"> </w:t>
      </w:r>
      <w:r w:rsidRPr="00E106CD">
        <w:t>Huang</w:t>
      </w:r>
      <w:r>
        <w:t xml:space="preserve">, J., et al. </w:t>
      </w:r>
      <w:r w:rsidRPr="00E106CD">
        <w:t xml:space="preserve"> </w:t>
      </w:r>
      <w:r>
        <w:t>(</w:t>
      </w:r>
      <w:r w:rsidRPr="00E106CD">
        <w:t>2025</w:t>
      </w:r>
      <w:r>
        <w:t xml:space="preserve">) </w:t>
      </w:r>
      <w:r w:rsidR="00606F5E" w:rsidRPr="007B7080">
        <w:rPr>
          <w:i/>
          <w:iCs/>
          <w:color w:val="000000"/>
        </w:rPr>
        <w:t>Nat. Chem</w:t>
      </w:r>
      <w:r w:rsidR="00606F5E">
        <w:rPr>
          <w:i/>
          <w:iCs/>
        </w:rPr>
        <w:t>.</w:t>
      </w:r>
      <w:r w:rsidRPr="00E106CD">
        <w:t>, 17(6), 856-864</w:t>
      </w:r>
      <w:r>
        <w:t xml:space="preserve">. </w:t>
      </w:r>
      <w:r w:rsidR="00141EF0">
        <w:rPr>
          <w:color w:val="000000"/>
        </w:rPr>
        <w:t xml:space="preserve">Doi: </w:t>
      </w:r>
      <w:r w:rsidR="00606F5E" w:rsidRPr="00606F5E">
        <w:t>10.1038/s41557-025-01784-1</w:t>
      </w:r>
      <w:r w:rsidR="00606F5E">
        <w:t xml:space="preserve"> </w:t>
      </w:r>
    </w:p>
    <w:p w14:paraId="443AED85" w14:textId="77777777" w:rsidR="00F84C31" w:rsidRDefault="00606F5E" w:rsidP="00F84C31">
      <w:pPr>
        <w:jc w:val="both"/>
        <w:rPr>
          <w:color w:val="000000"/>
        </w:rPr>
      </w:pPr>
      <w:r>
        <w:t>[2]</w:t>
      </w:r>
      <w:r w:rsidR="00F84C31">
        <w:t xml:space="preserve"> </w:t>
      </w:r>
      <w:r w:rsidR="00F84C31" w:rsidRPr="00AF441B">
        <w:rPr>
          <w:color w:val="000000"/>
        </w:rPr>
        <w:t xml:space="preserve">Du, N., </w:t>
      </w:r>
      <w:r w:rsidR="00F84C31">
        <w:rPr>
          <w:color w:val="000000"/>
        </w:rPr>
        <w:t xml:space="preserve">et al. </w:t>
      </w:r>
      <w:r w:rsidR="00F84C31" w:rsidRPr="00AF441B">
        <w:rPr>
          <w:color w:val="000000"/>
        </w:rPr>
        <w:t xml:space="preserve">(2022) </w:t>
      </w:r>
      <w:r w:rsidR="00F84C31" w:rsidRPr="00CC0B6D">
        <w:rPr>
          <w:i/>
          <w:iCs/>
          <w:color w:val="000000"/>
        </w:rPr>
        <w:t>Che. Rev.</w:t>
      </w:r>
      <w:r w:rsidR="00F84C31" w:rsidRPr="00AF441B">
        <w:rPr>
          <w:color w:val="000000"/>
        </w:rPr>
        <w:t>, 122(13), 11830-11895.</w:t>
      </w:r>
      <w:r w:rsidR="00F84C31">
        <w:rPr>
          <w:color w:val="000000"/>
        </w:rPr>
        <w:t xml:space="preserve"> Doi: </w:t>
      </w:r>
      <w:r w:rsidR="00F84C31" w:rsidRPr="00CC0B6D">
        <w:rPr>
          <w:color w:val="000000"/>
        </w:rPr>
        <w:t>10.1021/acs.chemrev.1c00854</w:t>
      </w:r>
    </w:p>
    <w:p w14:paraId="3DBEF50A" w14:textId="62020C23" w:rsidR="00606F5E" w:rsidRDefault="00F84C31" w:rsidP="00EA18D9">
      <w:pPr>
        <w:jc w:val="both"/>
        <w:rPr>
          <w:color w:val="000000"/>
        </w:rPr>
      </w:pPr>
      <w:r>
        <w:t xml:space="preserve">[3] </w:t>
      </w:r>
      <w:r w:rsidR="00606F5E" w:rsidRPr="00606F5E">
        <w:t xml:space="preserve">Liang, </w:t>
      </w:r>
      <w:r w:rsidR="00606F5E">
        <w:t>C.,</w:t>
      </w:r>
      <w:r w:rsidR="00606F5E" w:rsidRPr="00606F5E">
        <w:t xml:space="preserve"> et al. </w:t>
      </w:r>
      <w:r w:rsidR="00606F5E">
        <w:t>(2024)</w:t>
      </w:r>
      <w:r w:rsidR="00606F5E" w:rsidRPr="00606F5E">
        <w:t xml:space="preserve"> </w:t>
      </w:r>
      <w:r w:rsidR="00606F5E" w:rsidRPr="007B7080">
        <w:rPr>
          <w:i/>
          <w:iCs/>
          <w:color w:val="000000"/>
        </w:rPr>
        <w:t>J. Am. Chem. Soc.</w:t>
      </w:r>
      <w:r w:rsidR="00606F5E" w:rsidRPr="00606F5E">
        <w:rPr>
          <w:color w:val="000000"/>
        </w:rPr>
        <w:t>, 146(13), 8928-8938</w:t>
      </w:r>
      <w:r w:rsidR="00606F5E">
        <w:rPr>
          <w:color w:val="000000"/>
        </w:rPr>
        <w:t xml:space="preserve">. </w:t>
      </w:r>
      <w:r w:rsidR="00141EF0">
        <w:rPr>
          <w:color w:val="000000"/>
        </w:rPr>
        <w:t xml:space="preserve">Doi: </w:t>
      </w:r>
      <w:r w:rsidR="00606F5E" w:rsidRPr="00606F5E">
        <w:rPr>
          <w:color w:val="000000"/>
        </w:rPr>
        <w:t>10.1021/jacs.3c12011</w:t>
      </w:r>
      <w:r w:rsidR="00606F5E">
        <w:rPr>
          <w:color w:val="000000"/>
        </w:rPr>
        <w:t xml:space="preserve"> </w:t>
      </w:r>
    </w:p>
    <w:p w14:paraId="376AA3F5" w14:textId="67A3DF12" w:rsidR="00606F5E" w:rsidRDefault="00606F5E" w:rsidP="00EA18D9">
      <w:pPr>
        <w:jc w:val="both"/>
        <w:rPr>
          <w:color w:val="000000"/>
        </w:rPr>
      </w:pPr>
      <w:r>
        <w:rPr>
          <w:color w:val="000000"/>
        </w:rPr>
        <w:t>[</w:t>
      </w:r>
      <w:r w:rsidR="00DE697F">
        <w:rPr>
          <w:color w:val="000000"/>
        </w:rPr>
        <w:t>4</w:t>
      </w:r>
      <w:r>
        <w:rPr>
          <w:color w:val="000000"/>
        </w:rPr>
        <w:t xml:space="preserve">] </w:t>
      </w:r>
      <w:r w:rsidR="00141EF0" w:rsidRPr="00141EF0">
        <w:rPr>
          <w:color w:val="000000"/>
        </w:rPr>
        <w:t xml:space="preserve">Huynh, </w:t>
      </w:r>
      <w:r w:rsidR="00141EF0">
        <w:rPr>
          <w:color w:val="000000"/>
        </w:rPr>
        <w:t>T.</w:t>
      </w:r>
      <w:r w:rsidR="00141EF0" w:rsidRPr="00141EF0">
        <w:rPr>
          <w:color w:val="000000"/>
        </w:rPr>
        <w:t xml:space="preserve">, et al. </w:t>
      </w:r>
      <w:r w:rsidR="00141EF0">
        <w:rPr>
          <w:color w:val="000000"/>
        </w:rPr>
        <w:t xml:space="preserve">(2025) </w:t>
      </w:r>
      <w:r w:rsidR="00141EF0" w:rsidRPr="00141EF0">
        <w:rPr>
          <w:i/>
          <w:iCs/>
          <w:color w:val="000000"/>
        </w:rPr>
        <w:t>Small</w:t>
      </w:r>
      <w:r w:rsidR="00141EF0">
        <w:rPr>
          <w:color w:val="000000"/>
        </w:rPr>
        <w:t xml:space="preserve">, </w:t>
      </w:r>
      <w:r w:rsidR="00141EF0" w:rsidRPr="00141EF0">
        <w:rPr>
          <w:color w:val="000000"/>
        </w:rPr>
        <w:t>21(34), 2505937</w:t>
      </w:r>
      <w:r w:rsidR="00141EF0">
        <w:rPr>
          <w:color w:val="000000"/>
        </w:rPr>
        <w:t>. Doi: 10</w:t>
      </w:r>
      <w:r w:rsidR="00141EF0" w:rsidRPr="00141EF0">
        <w:rPr>
          <w:color w:val="000000"/>
        </w:rPr>
        <w:t>.1002/smll.202505937</w:t>
      </w:r>
    </w:p>
    <w:p w14:paraId="59E8F35D" w14:textId="77777777" w:rsidR="00E810EF" w:rsidRDefault="00E810EF" w:rsidP="00EA18D9">
      <w:pPr>
        <w:jc w:val="both"/>
        <w:rPr>
          <w:color w:val="000000"/>
        </w:rPr>
      </w:pPr>
    </w:p>
    <w:p w14:paraId="4F81EA99" w14:textId="18562569" w:rsidR="00E810EF" w:rsidRPr="00E106CD" w:rsidRDefault="00E810EF" w:rsidP="00E810EF">
      <w:pPr>
        <w:jc w:val="both"/>
      </w:pPr>
      <w:r w:rsidRPr="00E810EF">
        <w:rPr>
          <w:b/>
          <w:bCs/>
        </w:rPr>
        <w:t>Acknowledgments:</w:t>
      </w:r>
      <w:r>
        <w:rPr>
          <w:b/>
          <w:bCs/>
        </w:rPr>
        <w:t xml:space="preserve"> </w:t>
      </w:r>
      <w:r w:rsidRPr="00E810EF">
        <w:t xml:space="preserve">The authors acknowledge the São Paulo Research Foundation (FAPESP) for financial support </w:t>
      </w:r>
      <w:r>
        <w:t>(process numbers: #2019/22183-6 and #2021/01869-7)</w:t>
      </w:r>
      <w:r w:rsidR="001D7025">
        <w:t>.</w:t>
      </w:r>
    </w:p>
    <w:sectPr w:rsidR="00E810EF" w:rsidRPr="00E106C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3D92"/>
    <w:rsid w:val="00006580"/>
    <w:rsid w:val="000154D8"/>
    <w:rsid w:val="00041EFD"/>
    <w:rsid w:val="00056821"/>
    <w:rsid w:val="000A0694"/>
    <w:rsid w:val="00103731"/>
    <w:rsid w:val="00127803"/>
    <w:rsid w:val="00141EF0"/>
    <w:rsid w:val="00166B32"/>
    <w:rsid w:val="001C2941"/>
    <w:rsid w:val="001D7025"/>
    <w:rsid w:val="00325004"/>
    <w:rsid w:val="003C6898"/>
    <w:rsid w:val="003D72EA"/>
    <w:rsid w:val="00414B62"/>
    <w:rsid w:val="00524198"/>
    <w:rsid w:val="005272D4"/>
    <w:rsid w:val="00527F97"/>
    <w:rsid w:val="00536366"/>
    <w:rsid w:val="00544915"/>
    <w:rsid w:val="00556EEA"/>
    <w:rsid w:val="0056566D"/>
    <w:rsid w:val="005B1333"/>
    <w:rsid w:val="005C1DEC"/>
    <w:rsid w:val="00606F5E"/>
    <w:rsid w:val="00680A47"/>
    <w:rsid w:val="00685C1A"/>
    <w:rsid w:val="006E5901"/>
    <w:rsid w:val="007777C6"/>
    <w:rsid w:val="00873DD0"/>
    <w:rsid w:val="00885299"/>
    <w:rsid w:val="00885498"/>
    <w:rsid w:val="008E4F4A"/>
    <w:rsid w:val="009D26CD"/>
    <w:rsid w:val="00A12579"/>
    <w:rsid w:val="00A651A3"/>
    <w:rsid w:val="00AB2F23"/>
    <w:rsid w:val="00AD119E"/>
    <w:rsid w:val="00AF441B"/>
    <w:rsid w:val="00B13FFE"/>
    <w:rsid w:val="00B54E59"/>
    <w:rsid w:val="00B7629E"/>
    <w:rsid w:val="00B8318D"/>
    <w:rsid w:val="00C00410"/>
    <w:rsid w:val="00C0614D"/>
    <w:rsid w:val="00C25954"/>
    <w:rsid w:val="00C37174"/>
    <w:rsid w:val="00C92929"/>
    <w:rsid w:val="00C963EA"/>
    <w:rsid w:val="00CC0B6D"/>
    <w:rsid w:val="00D22367"/>
    <w:rsid w:val="00D4280F"/>
    <w:rsid w:val="00D471A1"/>
    <w:rsid w:val="00D97D17"/>
    <w:rsid w:val="00DA3407"/>
    <w:rsid w:val="00DA3B47"/>
    <w:rsid w:val="00DD294D"/>
    <w:rsid w:val="00DE697F"/>
    <w:rsid w:val="00E0716D"/>
    <w:rsid w:val="00E106CD"/>
    <w:rsid w:val="00E738B3"/>
    <w:rsid w:val="00E810EF"/>
    <w:rsid w:val="00E95482"/>
    <w:rsid w:val="00EA18D9"/>
    <w:rsid w:val="00EB308C"/>
    <w:rsid w:val="00EE1B3F"/>
    <w:rsid w:val="00EE3BF4"/>
    <w:rsid w:val="00F84C31"/>
    <w:rsid w:val="00F870BE"/>
    <w:rsid w:val="00F97641"/>
    <w:rsid w:val="00FF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3493C"/>
  <w14:defaultImageDpi w14:val="300"/>
  <w15:docId w15:val="{9A7D50FA-C8B9-4B84-94F1-7F4DE22A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06F5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6F5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00410"/>
    <w:rPr>
      <w:snapToGrid w:val="0"/>
    </w:rPr>
  </w:style>
  <w:style w:type="character" w:styleId="Refdecomentrio">
    <w:name w:val="annotation reference"/>
    <w:basedOn w:val="Fontepargpadro"/>
    <w:uiPriority w:val="99"/>
    <w:semiHidden/>
    <w:unhideWhenUsed/>
    <w:rsid w:val="009D26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D26CD"/>
  </w:style>
  <w:style w:type="character" w:customStyle="1" w:styleId="TextodecomentrioChar">
    <w:name w:val="Texto de comentário Char"/>
    <w:basedOn w:val="Fontepargpadro"/>
    <w:link w:val="Textodecomentrio"/>
    <w:uiPriority w:val="99"/>
    <w:rsid w:val="009D26CD"/>
    <w:rPr>
      <w:snapToGrid w:val="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26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26CD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695</Words>
  <Characters>3755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Pamella Silva Rodrigues</cp:lastModifiedBy>
  <cp:revision>17</cp:revision>
  <cp:lastPrinted>2013-10-21T12:07:00Z</cp:lastPrinted>
  <dcterms:created xsi:type="dcterms:W3CDTF">2026-05-20T14:35:00Z</dcterms:created>
  <dcterms:modified xsi:type="dcterms:W3CDTF">2026-05-23T12:46:00Z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c3f23068-6a5a-4b3c-ae0c-78f758bf89c0</vt:lpwstr>
  </property>
</Properties>
</file>