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CDCA2" w14:textId="6C8D461E" w:rsidR="00325004" w:rsidRPr="00A86EB9" w:rsidRDefault="00C96F84" w:rsidP="00300E2F">
      <w:pPr>
        <w:jc w:val="center"/>
        <w:rPr>
          <w:b/>
          <w:sz w:val="28"/>
        </w:rPr>
      </w:pPr>
      <w:r>
        <w:rPr>
          <w:b/>
          <w:sz w:val="28"/>
        </w:rPr>
        <w:t xml:space="preserve">Disentangling </w:t>
      </w:r>
      <w:r w:rsidR="00300E2F" w:rsidRPr="00300E2F">
        <w:rPr>
          <w:b/>
          <w:sz w:val="28"/>
        </w:rPr>
        <w:t xml:space="preserve">Hydrogen Evolution and CO₂-to-CO </w:t>
      </w:r>
      <w:r>
        <w:rPr>
          <w:b/>
          <w:sz w:val="28"/>
        </w:rPr>
        <w:t xml:space="preserve">Faradaic </w:t>
      </w:r>
      <w:r w:rsidR="00300E2F" w:rsidRPr="00300E2F">
        <w:rPr>
          <w:b/>
          <w:sz w:val="28"/>
        </w:rPr>
        <w:t xml:space="preserve">Reduction Currents </w:t>
      </w:r>
      <w:r w:rsidR="00300E2F">
        <w:rPr>
          <w:b/>
          <w:sz w:val="28"/>
        </w:rPr>
        <w:t xml:space="preserve">in </w:t>
      </w:r>
      <w:r w:rsidR="00300E2F" w:rsidRPr="00300E2F">
        <w:rPr>
          <w:b/>
          <w:sz w:val="28"/>
        </w:rPr>
        <w:t>RRDE through D</w:t>
      </w:r>
      <w:r w:rsidR="00300E2F">
        <w:rPr>
          <w:b/>
          <w:sz w:val="28"/>
        </w:rPr>
        <w:t>EMS</w:t>
      </w:r>
    </w:p>
    <w:p w14:paraId="5298DA30" w14:textId="77777777" w:rsidR="00325004" w:rsidRPr="00A86EB9" w:rsidRDefault="00325004" w:rsidP="00E0716D">
      <w:pPr>
        <w:jc w:val="center"/>
        <w:rPr>
          <w:b/>
          <w:sz w:val="28"/>
        </w:rPr>
      </w:pPr>
    </w:p>
    <w:p w14:paraId="4CF74B23" w14:textId="17E34884" w:rsidR="00325004" w:rsidRPr="00300E2F" w:rsidRDefault="00EA78BC" w:rsidP="00E0716D">
      <w:pPr>
        <w:jc w:val="center"/>
        <w:rPr>
          <w:lang w:val="es-ES"/>
        </w:rPr>
      </w:pPr>
      <w:proofErr w:type="spellStart"/>
      <w:r>
        <w:rPr>
          <w:lang w:val="es-ES"/>
        </w:rPr>
        <w:t>Yapci</w:t>
      </w:r>
      <w:proofErr w:type="spellEnd"/>
      <w:r>
        <w:rPr>
          <w:lang w:val="es-ES"/>
        </w:rPr>
        <w:t xml:space="preserve"> </w:t>
      </w:r>
      <w:r w:rsidR="00300E2F" w:rsidRPr="00300E2F">
        <w:rPr>
          <w:lang w:val="es-ES"/>
        </w:rPr>
        <w:t>Remedios-</w:t>
      </w:r>
      <w:proofErr w:type="spellStart"/>
      <w:r w:rsidR="00300E2F" w:rsidRPr="00300E2F">
        <w:rPr>
          <w:lang w:val="es-ES"/>
        </w:rPr>
        <w:t>Díaz</w:t>
      </w:r>
      <w:r w:rsidRPr="00EA78BC">
        <w:rPr>
          <w:vertAlign w:val="superscript"/>
          <w:lang w:val="es-ES"/>
        </w:rPr>
        <w:t>a</w:t>
      </w:r>
      <w:proofErr w:type="spellEnd"/>
      <w:r w:rsidR="00300E2F" w:rsidRPr="00300E2F">
        <w:rPr>
          <w:lang w:val="es-ES"/>
        </w:rPr>
        <w:t xml:space="preserve">, </w:t>
      </w:r>
      <w:r w:rsidR="00471671">
        <w:rPr>
          <w:lang w:val="es-ES"/>
        </w:rPr>
        <w:t xml:space="preserve">Stefan Delgado, </w:t>
      </w:r>
      <w:r w:rsidR="00300E2F" w:rsidRPr="00300E2F">
        <w:rPr>
          <w:u w:val="single"/>
          <w:lang w:val="es-ES"/>
        </w:rPr>
        <w:t>Sergio Díaz</w:t>
      </w:r>
      <w:r>
        <w:rPr>
          <w:u w:val="single"/>
          <w:lang w:val="es-ES"/>
        </w:rPr>
        <w:t>-</w:t>
      </w:r>
      <w:r w:rsidR="00300E2F" w:rsidRPr="00300E2F">
        <w:rPr>
          <w:u w:val="single"/>
          <w:lang w:val="es-ES"/>
        </w:rPr>
        <w:t>Coe</w:t>
      </w:r>
      <w:r w:rsidR="00300E2F">
        <w:rPr>
          <w:u w:val="single"/>
          <w:lang w:val="es-ES"/>
        </w:rPr>
        <w:t>llo</w:t>
      </w:r>
      <w:r w:rsidRPr="00EA78BC">
        <w:rPr>
          <w:vertAlign w:val="superscript"/>
          <w:lang w:val="es-ES"/>
        </w:rPr>
        <w:t>a</w:t>
      </w:r>
      <w:r w:rsidR="00300E2F" w:rsidRPr="00300E2F">
        <w:rPr>
          <w:lang w:val="es-ES"/>
        </w:rPr>
        <w:t xml:space="preserve">, </w:t>
      </w:r>
      <w:r w:rsidR="00471671">
        <w:rPr>
          <w:lang w:val="es-ES"/>
        </w:rPr>
        <w:t>Enrico Paron</w:t>
      </w:r>
      <w:r w:rsidR="00471671" w:rsidRPr="00471671">
        <w:rPr>
          <w:vertAlign w:val="superscript"/>
          <w:lang w:val="es-ES"/>
        </w:rPr>
        <w:t>b</w:t>
      </w:r>
      <w:r w:rsidR="00471671">
        <w:rPr>
          <w:lang w:val="es-ES"/>
        </w:rPr>
        <w:t xml:space="preserve">, </w:t>
      </w:r>
      <w:r>
        <w:rPr>
          <w:lang w:val="es-ES"/>
        </w:rPr>
        <w:t>Laura Calvillo</w:t>
      </w:r>
      <w:r>
        <w:rPr>
          <w:vertAlign w:val="superscript"/>
          <w:lang w:val="es-ES"/>
        </w:rPr>
        <w:t>b</w:t>
      </w:r>
      <w:r>
        <w:rPr>
          <w:lang w:val="es-ES"/>
        </w:rPr>
        <w:t>, Carmen Arévalo</w:t>
      </w:r>
      <w:r w:rsidRPr="00EA78BC">
        <w:rPr>
          <w:vertAlign w:val="superscript"/>
          <w:lang w:val="es-ES"/>
        </w:rPr>
        <w:t>a</w:t>
      </w:r>
      <w:r>
        <w:rPr>
          <w:lang w:val="es-ES"/>
        </w:rPr>
        <w:t>, Elena Pastor</w:t>
      </w:r>
      <w:r w:rsidRPr="00EA78BC">
        <w:rPr>
          <w:vertAlign w:val="superscript"/>
          <w:lang w:val="es-ES"/>
        </w:rPr>
        <w:t>a</w:t>
      </w:r>
    </w:p>
    <w:p w14:paraId="460A668A" w14:textId="2EC6DA05" w:rsidR="00325004" w:rsidRPr="00A86EB9" w:rsidRDefault="00EA78BC" w:rsidP="00E0716D">
      <w:pPr>
        <w:jc w:val="center"/>
        <w:rPr>
          <w:i/>
        </w:rPr>
      </w:pPr>
      <w:proofErr w:type="gramStart"/>
      <w:r w:rsidRPr="00EA78BC">
        <w:rPr>
          <w:vertAlign w:val="superscript"/>
        </w:rPr>
        <w:t>a</w:t>
      </w:r>
      <w:proofErr w:type="gramEnd"/>
      <w:r w:rsidRPr="00EA78BC">
        <w:rPr>
          <w:vertAlign w:val="superscript"/>
        </w:rPr>
        <w:t xml:space="preserve"> </w:t>
      </w:r>
      <w:r>
        <w:rPr>
          <w:i/>
        </w:rPr>
        <w:t>Institute of Materials and Nanotechnology, Department of Chemistry, University of La Laguna, PO 456, 38206, San Cristóbal de La Laguna, Spain</w:t>
      </w:r>
    </w:p>
    <w:p w14:paraId="15D19A19" w14:textId="77777777" w:rsidR="00EA78BC" w:rsidRPr="00EA78BC" w:rsidRDefault="00EA78BC" w:rsidP="00EA78BC">
      <w:pPr>
        <w:jc w:val="center"/>
        <w:rPr>
          <w:i/>
          <w:iCs/>
          <w:lang w:val="en-GB"/>
        </w:rPr>
      </w:pPr>
      <w:r w:rsidRPr="00EA78BC">
        <w:rPr>
          <w:i/>
          <w:iCs/>
          <w:vertAlign w:val="superscript"/>
          <w:lang w:val="en-GB"/>
        </w:rPr>
        <w:t>b</w:t>
      </w:r>
      <w:r w:rsidRPr="00EA78BC">
        <w:rPr>
          <w:i/>
          <w:iCs/>
          <w:lang w:val="en-GB"/>
        </w:rPr>
        <w:t xml:space="preserve"> Department of Chemical Sciences, INSTM Unit, University of Padova, 35131, Padova, Italy</w:t>
      </w:r>
    </w:p>
    <w:p w14:paraId="368BDB80" w14:textId="4E509BF4" w:rsidR="00685C1A" w:rsidRPr="00685C1A" w:rsidRDefault="00EA78BC" w:rsidP="00E0716D">
      <w:pPr>
        <w:jc w:val="center"/>
        <w:rPr>
          <w:i/>
        </w:rPr>
      </w:pPr>
      <w:r>
        <w:rPr>
          <w:i/>
        </w:rPr>
        <w:t>sdiazcoe@ull.edu.es</w:t>
      </w:r>
    </w:p>
    <w:p w14:paraId="2E7089EE" w14:textId="77777777" w:rsidR="00325004" w:rsidRDefault="00325004" w:rsidP="00E0716D">
      <w:pPr>
        <w:jc w:val="center"/>
      </w:pPr>
    </w:p>
    <w:p w14:paraId="428F3AA7" w14:textId="0561A754" w:rsidR="006B6AE5" w:rsidRDefault="006B6AE5" w:rsidP="006B6AE5">
      <w:pPr>
        <w:jc w:val="both"/>
      </w:pPr>
      <w:r w:rsidRPr="006B6AE5">
        <w:t>The use of fossil fuels has been a major driver of global warming</w:t>
      </w:r>
      <w:r w:rsidR="00DF7823">
        <w:t xml:space="preserve"> </w:t>
      </w:r>
      <w:r w:rsidRPr="006B6AE5">
        <w:t>and other environmental issues that significantly accelerate climate change</w:t>
      </w:r>
      <w:r w:rsidR="00DF7823">
        <w:t xml:space="preserve"> and </w:t>
      </w:r>
      <w:r w:rsidR="00DF7823" w:rsidRPr="006B6AE5">
        <w:t>particularl</w:t>
      </w:r>
      <w:r w:rsidR="00DF7823">
        <w:t xml:space="preserve">y </w:t>
      </w:r>
      <w:r w:rsidRPr="006B6AE5">
        <w:t>the increasing concentration of greenhouse gases</w:t>
      </w:r>
      <w:r w:rsidR="00DF7823">
        <w:t xml:space="preserve">. </w:t>
      </w:r>
      <w:r w:rsidRPr="006B6AE5">
        <w:t xml:space="preserve">In this context, </w:t>
      </w:r>
      <w:r w:rsidR="00DF7823">
        <w:t xml:space="preserve">the </w:t>
      </w:r>
      <w:r w:rsidRPr="006B6AE5">
        <w:t xml:space="preserve">conversion </w:t>
      </w:r>
      <w:r w:rsidR="00DF7823">
        <w:t>of carbon dioxide through</w:t>
      </w:r>
      <w:r w:rsidRPr="006B6AE5">
        <w:t xml:space="preserve"> </w:t>
      </w:r>
      <w:r w:rsidR="00DF7823">
        <w:t>the electrochemical reduction reaction (CO</w:t>
      </w:r>
      <w:r w:rsidR="00DF7823" w:rsidRPr="00DF7823">
        <w:rPr>
          <w:vertAlign w:val="subscript"/>
        </w:rPr>
        <w:t>2</w:t>
      </w:r>
      <w:r w:rsidR="00DF7823">
        <w:t xml:space="preserve">RR) </w:t>
      </w:r>
      <w:r w:rsidR="00DF7823" w:rsidRPr="006B6AE5">
        <w:t>has</w:t>
      </w:r>
      <w:r w:rsidRPr="006B6AE5">
        <w:t xml:space="preserve"> emerged as a promising strategy to mitigate </w:t>
      </w:r>
      <w:r w:rsidR="00DF7823">
        <w:t xml:space="preserve">this impact </w:t>
      </w:r>
      <w:r w:rsidR="00FB4689">
        <w:t>[1].</w:t>
      </w:r>
    </w:p>
    <w:p w14:paraId="0BC9EF10" w14:textId="30CA236B" w:rsidR="006B6AE5" w:rsidRDefault="00DF7823" w:rsidP="006B6AE5">
      <w:pPr>
        <w:jc w:val="both"/>
      </w:pPr>
      <w:r>
        <w:t>However, this reaction r</w:t>
      </w:r>
      <w:r w:rsidR="006B6AE5" w:rsidRPr="006B6AE5">
        <w:t>emains experimentally demanding, particularly when product selectivity must be determined at multiple potentials. Conventional gas chromatography analysis requires prolonged electrolysis experiments, gas sampling, and subsequent injections for each investigated potential, considerably limiting experimental throughput. Therefore, the development of faster methodologies capable of resolving the individual contributions of competing reactions</w:t>
      </w:r>
      <w:r>
        <w:t xml:space="preserve"> </w:t>
      </w:r>
      <w:r w:rsidR="006B6AE5" w:rsidRPr="006B6AE5">
        <w:t xml:space="preserve">is </w:t>
      </w:r>
      <w:r w:rsidR="00FB4689">
        <w:t>important</w:t>
      </w:r>
      <w:r w:rsidR="006B6AE5" w:rsidRPr="006B6AE5">
        <w:t xml:space="preserve"> for the</w:t>
      </w:r>
      <w:r w:rsidR="00FB4689">
        <w:t xml:space="preserve"> </w:t>
      </w:r>
      <w:r w:rsidR="006B6AE5" w:rsidRPr="006B6AE5">
        <w:t>assessment of CO₂RR catalysts.</w:t>
      </w:r>
    </w:p>
    <w:p w14:paraId="5CE4FCD9" w14:textId="6D4B8C91" w:rsidR="006B6AE5" w:rsidRDefault="006B6AE5" w:rsidP="006B6AE5">
      <w:pPr>
        <w:jc w:val="both"/>
      </w:pPr>
      <w:r w:rsidRPr="006B6AE5">
        <w:t>In this work, a MOF-derived iron carbide catalyst</w:t>
      </w:r>
      <w:r w:rsidR="004B00BD">
        <w:t xml:space="preserve"> </w:t>
      </w:r>
      <w:r w:rsidRPr="006B6AE5">
        <w:t xml:space="preserve">was employed as a model system to develop and validate a combined </w:t>
      </w:r>
      <w:r w:rsidR="00FB4689">
        <w:t xml:space="preserve">Rotating Ring-Disk Electrode and Differential Electrochemical Mass Spectrometry (RRDE-DEMS) </w:t>
      </w:r>
      <w:r w:rsidRPr="006B6AE5">
        <w:t>methodology for the</w:t>
      </w:r>
      <w:r w:rsidR="00FB4689">
        <w:t xml:space="preserve"> </w:t>
      </w:r>
      <w:r w:rsidRPr="006B6AE5">
        <w:t xml:space="preserve">analysis of </w:t>
      </w:r>
      <w:r w:rsidR="00FB4689">
        <w:t xml:space="preserve">the </w:t>
      </w:r>
      <w:r w:rsidRPr="006B6AE5">
        <w:t>CO</w:t>
      </w:r>
      <w:r w:rsidR="00FB4689" w:rsidRPr="00FB4689">
        <w:rPr>
          <w:vertAlign w:val="subscript"/>
        </w:rPr>
        <w:t>2</w:t>
      </w:r>
      <w:r w:rsidR="00FB4689">
        <w:t>RR</w:t>
      </w:r>
      <w:r w:rsidRPr="006B6AE5">
        <w:t xml:space="preserve">. </w:t>
      </w:r>
      <w:r w:rsidR="00471671">
        <w:t>This catalyst produces only CO from CO</w:t>
      </w:r>
      <w:r w:rsidR="00471671" w:rsidRPr="00471671">
        <w:rPr>
          <w:vertAlign w:val="subscript"/>
        </w:rPr>
        <w:t>2</w:t>
      </w:r>
      <w:r w:rsidR="00471671">
        <w:t xml:space="preserve"> [2]</w:t>
      </w:r>
      <w:r w:rsidR="000D1486">
        <w:t>,</w:t>
      </w:r>
      <w:r w:rsidR="00471671">
        <w:t xml:space="preserve"> and therefore, in a RRDE experiment applying a proper anodic potential, both H</w:t>
      </w:r>
      <w:r w:rsidR="00471671" w:rsidRPr="00471671">
        <w:rPr>
          <w:vertAlign w:val="subscript"/>
        </w:rPr>
        <w:t>2</w:t>
      </w:r>
      <w:r w:rsidR="00471671">
        <w:t xml:space="preserve"> and CO generated at the disk can be detected at the ring. </w:t>
      </w:r>
      <w:r w:rsidR="004B00BD">
        <w:t>The complete oxidation currents recorded at the ring during the reaction (see Figure 1a</w:t>
      </w:r>
      <w:r w:rsidR="005D7537">
        <w:t xml:space="preserve"> – red line</w:t>
      </w:r>
      <w:r w:rsidR="004B00BD">
        <w:t>) were disentangled in H</w:t>
      </w:r>
      <w:r w:rsidR="004B00BD" w:rsidRPr="00BA6F5F">
        <w:rPr>
          <w:vertAlign w:val="subscript"/>
        </w:rPr>
        <w:t>2</w:t>
      </w:r>
      <w:r w:rsidR="004B00BD">
        <w:t xml:space="preserve"> oxidation and CO oxidation. This was possible </w:t>
      </w:r>
      <w:r w:rsidR="005D7537">
        <w:t>by means of</w:t>
      </w:r>
      <w:r w:rsidR="00471671">
        <w:t xml:space="preserve"> the combination with </w:t>
      </w:r>
      <w:r w:rsidRPr="006B6AE5">
        <w:t xml:space="preserve">DEMS </w:t>
      </w:r>
      <w:r w:rsidR="004B00BD">
        <w:t>experiments in argon- and CO</w:t>
      </w:r>
      <w:r w:rsidR="004B00BD" w:rsidRPr="00BA6F5F">
        <w:rPr>
          <w:vertAlign w:val="subscript"/>
        </w:rPr>
        <w:t>2</w:t>
      </w:r>
      <w:r w:rsidR="004B00BD">
        <w:t>-saturated conditions (Figure 1b) which were used to</w:t>
      </w:r>
      <w:r w:rsidRPr="006B6AE5">
        <w:t xml:space="preserve"> </w:t>
      </w:r>
      <w:r w:rsidR="00BA6F5F">
        <w:t>calculate</w:t>
      </w:r>
      <w:r w:rsidRPr="006B6AE5">
        <w:t xml:space="preserve"> </w:t>
      </w:r>
      <w:r w:rsidR="00BA6F5F">
        <w:t xml:space="preserve">the </w:t>
      </w:r>
      <w:r w:rsidRPr="006B6AE5">
        <w:t>partial currents</w:t>
      </w:r>
      <w:r w:rsidR="00BA6F5F">
        <w:t xml:space="preserve"> of H</w:t>
      </w:r>
      <w:r w:rsidR="00BA6F5F" w:rsidRPr="00BA6F5F">
        <w:rPr>
          <w:vertAlign w:val="subscript"/>
        </w:rPr>
        <w:t>2</w:t>
      </w:r>
      <w:r w:rsidRPr="006B6AE5">
        <w:t>.</w:t>
      </w:r>
    </w:p>
    <w:p w14:paraId="57C4E7F9" w14:textId="67D8FE67" w:rsidR="006B6AE5" w:rsidRPr="006B6AE5" w:rsidRDefault="00833D7B" w:rsidP="006B6AE5">
      <w:pPr>
        <w:jc w:val="both"/>
      </w:pPr>
      <w:r w:rsidRPr="00902403">
        <w:rPr>
          <w:b/>
          <w:bCs/>
          <w:i/>
          <w:iCs/>
          <w:noProof/>
        </w:rPr>
        <mc:AlternateContent>
          <mc:Choice Requires="wps">
            <w:drawing>
              <wp:anchor distT="45720" distB="45720" distL="114300" distR="114300" simplePos="0" relativeHeight="251658752" behindDoc="0" locked="0" layoutInCell="1" allowOverlap="1" wp14:anchorId="7FA322DD" wp14:editId="0FB9B588">
                <wp:simplePos x="0" y="0"/>
                <wp:positionH relativeFrom="column">
                  <wp:posOffset>3651885</wp:posOffset>
                </wp:positionH>
                <wp:positionV relativeFrom="paragraph">
                  <wp:posOffset>698500</wp:posOffset>
                </wp:positionV>
                <wp:extent cx="1727835" cy="2522220"/>
                <wp:effectExtent l="0" t="0" r="5715" b="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7835" cy="2522220"/>
                        </a:xfrm>
                        <a:prstGeom prst="rect">
                          <a:avLst/>
                        </a:prstGeom>
                        <a:solidFill>
                          <a:srgbClr val="FFFFFF"/>
                        </a:solidFill>
                        <a:ln w="9525">
                          <a:noFill/>
                          <a:miter lim="800000"/>
                          <a:headEnd/>
                          <a:tailEnd/>
                        </a:ln>
                      </wps:spPr>
                      <wps:txbx>
                        <w:txbxContent>
                          <w:p w14:paraId="065DBD83" w14:textId="66FDFA72" w:rsidR="00902403" w:rsidRDefault="00902403" w:rsidP="00902403">
                            <w:pPr>
                              <w:pStyle w:val="Descripcin"/>
                              <w:spacing w:after="0"/>
                              <w:jc w:val="both"/>
                              <w:rPr>
                                <w:i w:val="0"/>
                                <w:iCs w:val="0"/>
                                <w:color w:val="auto"/>
                                <w:sz w:val="20"/>
                                <w:szCs w:val="20"/>
                              </w:rPr>
                            </w:pPr>
                            <w:r w:rsidRPr="00BA6F5F">
                              <w:rPr>
                                <w:b/>
                                <w:bCs/>
                                <w:i w:val="0"/>
                                <w:iCs w:val="0"/>
                                <w:color w:val="auto"/>
                                <w:sz w:val="20"/>
                                <w:szCs w:val="20"/>
                              </w:rPr>
                              <w:t xml:space="preserve">Figure </w:t>
                            </w:r>
                            <w:r w:rsidRPr="00BA6F5F">
                              <w:rPr>
                                <w:b/>
                                <w:bCs/>
                                <w:i w:val="0"/>
                                <w:iCs w:val="0"/>
                                <w:color w:val="auto"/>
                                <w:sz w:val="20"/>
                                <w:szCs w:val="20"/>
                              </w:rPr>
                              <w:fldChar w:fldCharType="begin"/>
                            </w:r>
                            <w:r w:rsidRPr="00BA6F5F">
                              <w:rPr>
                                <w:b/>
                                <w:bCs/>
                                <w:i w:val="0"/>
                                <w:iCs w:val="0"/>
                                <w:color w:val="auto"/>
                                <w:sz w:val="20"/>
                                <w:szCs w:val="20"/>
                              </w:rPr>
                              <w:instrText xml:space="preserve"> SEQ Figure \* ARABIC </w:instrText>
                            </w:r>
                            <w:r w:rsidRPr="00BA6F5F">
                              <w:rPr>
                                <w:b/>
                                <w:bCs/>
                                <w:i w:val="0"/>
                                <w:iCs w:val="0"/>
                                <w:color w:val="auto"/>
                                <w:sz w:val="20"/>
                                <w:szCs w:val="20"/>
                              </w:rPr>
                              <w:fldChar w:fldCharType="separate"/>
                            </w:r>
                            <w:r w:rsidRPr="00BA6F5F">
                              <w:rPr>
                                <w:b/>
                                <w:bCs/>
                                <w:i w:val="0"/>
                                <w:iCs w:val="0"/>
                                <w:noProof/>
                                <w:color w:val="auto"/>
                                <w:sz w:val="20"/>
                                <w:szCs w:val="20"/>
                              </w:rPr>
                              <w:t>1</w:t>
                            </w:r>
                            <w:r w:rsidRPr="00BA6F5F">
                              <w:rPr>
                                <w:b/>
                                <w:bCs/>
                                <w:i w:val="0"/>
                                <w:iCs w:val="0"/>
                                <w:color w:val="auto"/>
                                <w:sz w:val="20"/>
                                <w:szCs w:val="20"/>
                              </w:rPr>
                              <w:fldChar w:fldCharType="end"/>
                            </w:r>
                            <w:r w:rsidRPr="00BA6F5F">
                              <w:rPr>
                                <w:b/>
                                <w:bCs/>
                                <w:i w:val="0"/>
                                <w:iCs w:val="0"/>
                                <w:color w:val="auto"/>
                                <w:sz w:val="20"/>
                                <w:szCs w:val="20"/>
                              </w:rPr>
                              <w:t>.</w:t>
                            </w:r>
                            <w:r w:rsidRPr="00BA6F5F">
                              <w:rPr>
                                <w:i w:val="0"/>
                                <w:iCs w:val="0"/>
                                <w:color w:val="auto"/>
                                <w:sz w:val="20"/>
                                <w:szCs w:val="20"/>
                              </w:rPr>
                              <w:t xml:space="preserve"> (a) Currents detected at the ring during the RRDE experiment in a CO</w:t>
                            </w:r>
                            <w:r w:rsidRPr="00703CA1">
                              <w:rPr>
                                <w:i w:val="0"/>
                                <w:iCs w:val="0"/>
                                <w:color w:val="auto"/>
                                <w:sz w:val="20"/>
                                <w:szCs w:val="20"/>
                                <w:vertAlign w:val="subscript"/>
                              </w:rPr>
                              <w:t>2</w:t>
                            </w:r>
                            <w:r w:rsidRPr="00BA6F5F">
                              <w:rPr>
                                <w:i w:val="0"/>
                                <w:iCs w:val="0"/>
                                <w:color w:val="auto"/>
                                <w:sz w:val="20"/>
                                <w:szCs w:val="20"/>
                              </w:rPr>
                              <w:t>-saturated 0.5 M KHCO</w:t>
                            </w:r>
                            <w:r w:rsidRPr="00703CA1">
                              <w:rPr>
                                <w:i w:val="0"/>
                                <w:iCs w:val="0"/>
                                <w:color w:val="auto"/>
                                <w:sz w:val="20"/>
                                <w:szCs w:val="20"/>
                                <w:vertAlign w:val="subscript"/>
                              </w:rPr>
                              <w:t>3</w:t>
                            </w:r>
                            <w:r w:rsidRPr="00BA6F5F">
                              <w:rPr>
                                <w:i w:val="0"/>
                                <w:iCs w:val="0"/>
                                <w:color w:val="auto"/>
                                <w:sz w:val="20"/>
                                <w:szCs w:val="20"/>
                              </w:rPr>
                              <w:t xml:space="preserve"> solution recorded at 2 mV·s</w:t>
                            </w:r>
                            <w:r w:rsidRPr="00703CA1">
                              <w:rPr>
                                <w:i w:val="0"/>
                                <w:iCs w:val="0"/>
                                <w:color w:val="auto"/>
                                <w:sz w:val="20"/>
                                <w:szCs w:val="20"/>
                                <w:vertAlign w:val="superscript"/>
                              </w:rPr>
                              <w:t>-1</w:t>
                            </w:r>
                            <w:r w:rsidRPr="00BA6F5F">
                              <w:rPr>
                                <w:i w:val="0"/>
                                <w:iCs w:val="0"/>
                                <w:color w:val="auto"/>
                                <w:sz w:val="20"/>
                                <w:szCs w:val="20"/>
                              </w:rPr>
                              <w:t>. The red line represents the experimental currents, while blue and green lines represent mathematical deconvolution</w:t>
                            </w:r>
                            <w:r>
                              <w:rPr>
                                <w:i w:val="0"/>
                                <w:iCs w:val="0"/>
                                <w:color w:val="auto"/>
                                <w:sz w:val="20"/>
                                <w:szCs w:val="20"/>
                              </w:rPr>
                              <w:t>s</w:t>
                            </w:r>
                            <w:r w:rsidRPr="00BA6F5F">
                              <w:rPr>
                                <w:i w:val="0"/>
                                <w:iCs w:val="0"/>
                                <w:color w:val="auto"/>
                                <w:sz w:val="20"/>
                                <w:szCs w:val="20"/>
                              </w:rPr>
                              <w:t>. (b) DEMS experiment recorded in argon- and CO</w:t>
                            </w:r>
                            <w:r w:rsidRPr="00703CA1">
                              <w:rPr>
                                <w:i w:val="0"/>
                                <w:iCs w:val="0"/>
                                <w:color w:val="auto"/>
                                <w:sz w:val="20"/>
                                <w:szCs w:val="20"/>
                                <w:vertAlign w:val="subscript"/>
                              </w:rPr>
                              <w:t>2</w:t>
                            </w:r>
                            <w:r>
                              <w:rPr>
                                <w:i w:val="0"/>
                                <w:iCs w:val="0"/>
                                <w:color w:val="auto"/>
                                <w:sz w:val="20"/>
                                <w:szCs w:val="20"/>
                              </w:rPr>
                              <w:t>-</w:t>
                            </w:r>
                            <w:r w:rsidRPr="00BA6F5F">
                              <w:rPr>
                                <w:i w:val="0"/>
                                <w:iCs w:val="0"/>
                                <w:color w:val="auto"/>
                                <w:sz w:val="20"/>
                                <w:szCs w:val="20"/>
                              </w:rPr>
                              <w:t>saturated 0.5 M KHCO</w:t>
                            </w:r>
                            <w:r w:rsidRPr="00703CA1">
                              <w:rPr>
                                <w:i w:val="0"/>
                                <w:iCs w:val="0"/>
                                <w:color w:val="auto"/>
                                <w:sz w:val="20"/>
                                <w:szCs w:val="20"/>
                                <w:vertAlign w:val="subscript"/>
                              </w:rPr>
                              <w:t>3</w:t>
                            </w:r>
                            <w:r w:rsidRPr="00BA6F5F">
                              <w:rPr>
                                <w:i w:val="0"/>
                                <w:iCs w:val="0"/>
                                <w:color w:val="auto"/>
                                <w:sz w:val="20"/>
                                <w:szCs w:val="20"/>
                              </w:rPr>
                              <w:t xml:space="preserve"> solution at 2 mV·s</w:t>
                            </w:r>
                            <w:r w:rsidRPr="00703CA1">
                              <w:rPr>
                                <w:i w:val="0"/>
                                <w:iCs w:val="0"/>
                                <w:color w:val="auto"/>
                                <w:sz w:val="20"/>
                                <w:szCs w:val="20"/>
                                <w:vertAlign w:val="superscript"/>
                              </w:rPr>
                              <w:t>-1</w:t>
                            </w:r>
                            <w:r>
                              <w:rPr>
                                <w:i w:val="0"/>
                                <w:iCs w:val="0"/>
                                <w:color w:val="auto"/>
                                <w:sz w:val="20"/>
                                <w:szCs w:val="20"/>
                              </w:rPr>
                              <w:t>.</w:t>
                            </w:r>
                          </w:p>
                          <w:p w14:paraId="53D4F901" w14:textId="7F8497F5" w:rsidR="00902403" w:rsidRDefault="0090240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A322DD" id="_x0000_t202" coordsize="21600,21600" o:spt="202" path="m,l,21600r21600,l21600,xe">
                <v:stroke joinstyle="miter"/>
                <v:path gradientshapeok="t" o:connecttype="rect"/>
              </v:shapetype>
              <v:shape id="Cuadro de texto 2" o:spid="_x0000_s1026" type="#_x0000_t202" style="position:absolute;left:0;text-align:left;margin-left:287.55pt;margin-top:55pt;width:136.05pt;height:198.6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" stroked="f">
                <v:textbox>
                  <w:txbxContent>
                    <w:p w14:paraId="065DBD83" w14:textId="66FDFA72" w:rsidR="00902403" w:rsidRDefault="00902403" w:rsidP="00902403">
                      <w:pPr>
                        <w:pStyle w:val="Descripcin"/>
                        <w:spacing w:after="0"/>
                        <w:jc w:val="both"/>
                        <w:rPr>
                          <w:i w:val="0"/>
                          <w:iCs w:val="0"/>
                          <w:color w:val="auto"/>
                          <w:sz w:val="20"/>
                          <w:szCs w:val="20"/>
                        </w:rPr>
                      </w:pPr>
                      <w:r w:rsidRPr="00BA6F5F">
                        <w:rPr>
                          <w:b/>
                          <w:bCs/>
                          <w:i w:val="0"/>
                          <w:iCs w:val="0"/>
                          <w:color w:val="auto"/>
                          <w:sz w:val="20"/>
                          <w:szCs w:val="20"/>
                        </w:rPr>
                        <w:t xml:space="preserve">Figure </w:t>
                      </w:r>
                      <w:r w:rsidRPr="00BA6F5F">
                        <w:rPr>
                          <w:b/>
                          <w:bCs/>
                          <w:i w:val="0"/>
                          <w:iCs w:val="0"/>
                          <w:color w:val="auto"/>
                          <w:sz w:val="20"/>
                          <w:szCs w:val="20"/>
                        </w:rPr>
                        <w:fldChar w:fldCharType="begin"/>
                      </w:r>
                      <w:r w:rsidRPr="00BA6F5F">
                        <w:rPr>
                          <w:b/>
                          <w:bCs/>
                          <w:i w:val="0"/>
                          <w:iCs w:val="0"/>
                          <w:color w:val="auto"/>
                          <w:sz w:val="20"/>
                          <w:szCs w:val="20"/>
                        </w:rPr>
                        <w:instrText xml:space="preserve"> SEQ Figure \* ARABIC </w:instrText>
                      </w:r>
                      <w:r w:rsidRPr="00BA6F5F">
                        <w:rPr>
                          <w:b/>
                          <w:bCs/>
                          <w:i w:val="0"/>
                          <w:iCs w:val="0"/>
                          <w:color w:val="auto"/>
                          <w:sz w:val="20"/>
                          <w:szCs w:val="20"/>
                        </w:rPr>
                        <w:fldChar w:fldCharType="separate"/>
                      </w:r>
                      <w:r w:rsidRPr="00BA6F5F">
                        <w:rPr>
                          <w:b/>
                          <w:bCs/>
                          <w:i w:val="0"/>
                          <w:iCs w:val="0"/>
                          <w:noProof/>
                          <w:color w:val="auto"/>
                          <w:sz w:val="20"/>
                          <w:szCs w:val="20"/>
                        </w:rPr>
                        <w:t>1</w:t>
                      </w:r>
                      <w:r w:rsidRPr="00BA6F5F">
                        <w:rPr>
                          <w:b/>
                          <w:bCs/>
                          <w:i w:val="0"/>
                          <w:iCs w:val="0"/>
                          <w:color w:val="auto"/>
                          <w:sz w:val="20"/>
                          <w:szCs w:val="20"/>
                        </w:rPr>
                        <w:fldChar w:fldCharType="end"/>
                      </w:r>
                      <w:r w:rsidRPr="00BA6F5F">
                        <w:rPr>
                          <w:b/>
                          <w:bCs/>
                          <w:i w:val="0"/>
                          <w:iCs w:val="0"/>
                          <w:color w:val="auto"/>
                          <w:sz w:val="20"/>
                          <w:szCs w:val="20"/>
                        </w:rPr>
                        <w:t>.</w:t>
                      </w:r>
                      <w:r w:rsidRPr="00BA6F5F">
                        <w:rPr>
                          <w:i w:val="0"/>
                          <w:iCs w:val="0"/>
                          <w:color w:val="auto"/>
                          <w:sz w:val="20"/>
                          <w:szCs w:val="20"/>
                        </w:rPr>
                        <w:t xml:space="preserve"> (a) Currents detected at the ring during the RRDE experiment in a CO</w:t>
                      </w:r>
                      <w:r w:rsidRPr="00703CA1">
                        <w:rPr>
                          <w:i w:val="0"/>
                          <w:iCs w:val="0"/>
                          <w:color w:val="auto"/>
                          <w:sz w:val="20"/>
                          <w:szCs w:val="20"/>
                          <w:vertAlign w:val="subscript"/>
                        </w:rPr>
                        <w:t>2</w:t>
                      </w:r>
                      <w:r w:rsidRPr="00BA6F5F">
                        <w:rPr>
                          <w:i w:val="0"/>
                          <w:iCs w:val="0"/>
                          <w:color w:val="auto"/>
                          <w:sz w:val="20"/>
                          <w:szCs w:val="20"/>
                        </w:rPr>
                        <w:t>-saturated 0.5 M KHCO</w:t>
                      </w:r>
                      <w:r w:rsidRPr="00703CA1">
                        <w:rPr>
                          <w:i w:val="0"/>
                          <w:iCs w:val="0"/>
                          <w:color w:val="auto"/>
                          <w:sz w:val="20"/>
                          <w:szCs w:val="20"/>
                          <w:vertAlign w:val="subscript"/>
                        </w:rPr>
                        <w:t>3</w:t>
                      </w:r>
                      <w:r w:rsidRPr="00BA6F5F">
                        <w:rPr>
                          <w:i w:val="0"/>
                          <w:iCs w:val="0"/>
                          <w:color w:val="auto"/>
                          <w:sz w:val="20"/>
                          <w:szCs w:val="20"/>
                        </w:rPr>
                        <w:t xml:space="preserve"> solution recorded at 2 mV·s</w:t>
                      </w:r>
                      <w:r w:rsidRPr="00703CA1">
                        <w:rPr>
                          <w:i w:val="0"/>
                          <w:iCs w:val="0"/>
                          <w:color w:val="auto"/>
                          <w:sz w:val="20"/>
                          <w:szCs w:val="20"/>
                          <w:vertAlign w:val="superscript"/>
                        </w:rPr>
                        <w:t>-1</w:t>
                      </w:r>
                      <w:r w:rsidRPr="00BA6F5F">
                        <w:rPr>
                          <w:i w:val="0"/>
                          <w:iCs w:val="0"/>
                          <w:color w:val="auto"/>
                          <w:sz w:val="20"/>
                          <w:szCs w:val="20"/>
                        </w:rPr>
                        <w:t>. The red line represents the experimental currents, while blue and green lines represent mathematical deconvolution</w:t>
                      </w:r>
                      <w:r>
                        <w:rPr>
                          <w:i w:val="0"/>
                          <w:iCs w:val="0"/>
                          <w:color w:val="auto"/>
                          <w:sz w:val="20"/>
                          <w:szCs w:val="20"/>
                        </w:rPr>
                        <w:t>s</w:t>
                      </w:r>
                      <w:r w:rsidRPr="00BA6F5F">
                        <w:rPr>
                          <w:i w:val="0"/>
                          <w:iCs w:val="0"/>
                          <w:color w:val="auto"/>
                          <w:sz w:val="20"/>
                          <w:szCs w:val="20"/>
                        </w:rPr>
                        <w:t>. (b) DEMS experiment recorded in argon- and CO</w:t>
                      </w:r>
                      <w:r w:rsidRPr="00703CA1">
                        <w:rPr>
                          <w:i w:val="0"/>
                          <w:iCs w:val="0"/>
                          <w:color w:val="auto"/>
                          <w:sz w:val="20"/>
                          <w:szCs w:val="20"/>
                          <w:vertAlign w:val="subscript"/>
                        </w:rPr>
                        <w:t>2</w:t>
                      </w:r>
                      <w:r>
                        <w:rPr>
                          <w:i w:val="0"/>
                          <w:iCs w:val="0"/>
                          <w:color w:val="auto"/>
                          <w:sz w:val="20"/>
                          <w:szCs w:val="20"/>
                        </w:rPr>
                        <w:t>-</w:t>
                      </w:r>
                      <w:r w:rsidRPr="00BA6F5F">
                        <w:rPr>
                          <w:i w:val="0"/>
                          <w:iCs w:val="0"/>
                          <w:color w:val="auto"/>
                          <w:sz w:val="20"/>
                          <w:szCs w:val="20"/>
                        </w:rPr>
                        <w:t>saturated 0.5 M KHCO</w:t>
                      </w:r>
                      <w:r w:rsidRPr="00703CA1">
                        <w:rPr>
                          <w:i w:val="0"/>
                          <w:iCs w:val="0"/>
                          <w:color w:val="auto"/>
                          <w:sz w:val="20"/>
                          <w:szCs w:val="20"/>
                          <w:vertAlign w:val="subscript"/>
                        </w:rPr>
                        <w:t>3</w:t>
                      </w:r>
                      <w:r w:rsidRPr="00BA6F5F">
                        <w:rPr>
                          <w:i w:val="0"/>
                          <w:iCs w:val="0"/>
                          <w:color w:val="auto"/>
                          <w:sz w:val="20"/>
                          <w:szCs w:val="20"/>
                        </w:rPr>
                        <w:t xml:space="preserve"> solution at 2 mV·s</w:t>
                      </w:r>
                      <w:r w:rsidRPr="00703CA1">
                        <w:rPr>
                          <w:i w:val="0"/>
                          <w:iCs w:val="0"/>
                          <w:color w:val="auto"/>
                          <w:sz w:val="20"/>
                          <w:szCs w:val="20"/>
                          <w:vertAlign w:val="superscript"/>
                        </w:rPr>
                        <w:t>-1</w:t>
                      </w:r>
                      <w:r>
                        <w:rPr>
                          <w:i w:val="0"/>
                          <w:iCs w:val="0"/>
                          <w:color w:val="auto"/>
                          <w:sz w:val="20"/>
                          <w:szCs w:val="20"/>
                        </w:rPr>
                        <w:t>.</w:t>
                      </w:r>
                    </w:p>
                    <w:p w14:paraId="53D4F901" w14:textId="7F8497F5" w:rsidR="00902403" w:rsidRDefault="00902403"/>
                  </w:txbxContent>
                </v:textbox>
                <w10:wrap type="square"/>
              </v:shape>
            </w:pict>
          </mc:Fallback>
        </mc:AlternateContent>
      </w:r>
      <w:r>
        <w:rPr>
          <w:noProof/>
        </w:rPr>
        <w:drawing>
          <wp:anchor distT="0" distB="0" distL="114300" distR="114300" simplePos="0" relativeHeight="251659776" behindDoc="0" locked="0" layoutInCell="1" allowOverlap="1" wp14:anchorId="774BEB8E" wp14:editId="70DC038C">
            <wp:simplePos x="0" y="0"/>
            <wp:positionH relativeFrom="column">
              <wp:posOffset>24765</wp:posOffset>
            </wp:positionH>
            <wp:positionV relativeFrom="paragraph">
              <wp:posOffset>721360</wp:posOffset>
            </wp:positionV>
            <wp:extent cx="3587115" cy="1562100"/>
            <wp:effectExtent l="0" t="0" r="0" b="0"/>
            <wp:wrapSquare wrapText="bothSides"/>
            <wp:docPr id="764680256"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5">
                      <a:extLst>
                        <a:ext uri="{28A0092B-C50C-407E-A947-70E740481C1C}">
                          <a14:useLocalDpi xmlns:a14="http://schemas.microsoft.com/office/drawing/2010/main" val="0"/>
                        </a:ext>
                      </a:extLst>
                    </a:blip>
                    <a:srcRect r="1689"/>
                    <a:stretch>
                      <a:fillRect/>
                    </a:stretch>
                  </pic:blipFill>
                  <pic:spPr bwMode="auto">
                    <a:xfrm>
                      <a:off x="0" y="0"/>
                      <a:ext cx="3587115" cy="15621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B6AE5" w:rsidRPr="006B6AE5">
        <w:t xml:space="preserve">The proposed methodology enabled the separation of </w:t>
      </w:r>
      <w:r w:rsidR="000D1486">
        <w:t xml:space="preserve">hydrogen evolution reaction </w:t>
      </w:r>
      <w:r w:rsidR="006B6AE5" w:rsidRPr="006B6AE5">
        <w:t>and CO₂RR current contributions, providing direct insight into the competition</w:t>
      </w:r>
      <w:r w:rsidR="00BA6F5F">
        <w:t xml:space="preserve"> and mechanism</w:t>
      </w:r>
      <w:r w:rsidR="006B6AE5" w:rsidRPr="006B6AE5">
        <w:t xml:space="preserve"> between both processes. Excellent agreement with gas chromatography measurements validated the RRDE–DEMS approach as a rapid tool for investigating reaction selectivity and competing cathodic pathways.</w:t>
      </w:r>
    </w:p>
    <w:p w14:paraId="6DA390C0" w14:textId="6370AE2C" w:rsidR="00325004" w:rsidRDefault="00325004" w:rsidP="00E0716D">
      <w:pPr>
        <w:jc w:val="both"/>
      </w:pPr>
    </w:p>
    <w:p w14:paraId="2B9DF8C8" w14:textId="2342D1D6" w:rsidR="00BA6F5F" w:rsidRPr="00703CA1" w:rsidRDefault="00703CA1" w:rsidP="00BA6F5F">
      <w:pPr>
        <w:rPr>
          <w:b/>
          <w:bCs/>
        </w:rPr>
      </w:pPr>
      <w:r>
        <w:rPr>
          <w:b/>
          <w:bCs/>
        </w:rPr>
        <w:t>Bibliography</w:t>
      </w:r>
    </w:p>
    <w:p w14:paraId="5FC296A9" w14:textId="48F501C2" w:rsidR="00BA6F5F" w:rsidRPr="00DF7823" w:rsidRDefault="008E48B2" w:rsidP="00471671">
      <w:pPr>
        <w:jc w:val="both"/>
      </w:pPr>
      <w:r w:rsidRPr="00DF7823">
        <w:t xml:space="preserve">[1] </w:t>
      </w:r>
      <w:r w:rsidR="00DF7823" w:rsidRPr="00DF7823">
        <w:t>Birdja, Y.Y.; Pérez-</w:t>
      </w:r>
      <w:proofErr w:type="spellStart"/>
      <w:r w:rsidR="00DF7823" w:rsidRPr="00DF7823">
        <w:t>Gallent</w:t>
      </w:r>
      <w:proofErr w:type="spellEnd"/>
      <w:r w:rsidR="00DF7823" w:rsidRPr="00DF7823">
        <w:t>, E.; Figueiredo, M.C.; Göttel, A.J.; Calle-Vallejo, F.; K</w:t>
      </w:r>
      <w:r w:rsidR="00DF7823">
        <w:t xml:space="preserve">oper, M.T.M. Nature Energy </w:t>
      </w:r>
      <w:r w:rsidR="00DF7823" w:rsidRPr="00DF7823">
        <w:rPr>
          <w:b/>
          <w:bCs/>
        </w:rPr>
        <w:t>2019</w:t>
      </w:r>
      <w:r w:rsidR="00DF7823">
        <w:t>, 4, 732-745</w:t>
      </w:r>
    </w:p>
    <w:p w14:paraId="48E12A89" w14:textId="77777777" w:rsidR="008E48B2" w:rsidRPr="00DF7823" w:rsidRDefault="008E48B2" w:rsidP="00471671">
      <w:pPr>
        <w:jc w:val="both"/>
      </w:pPr>
      <w:r w:rsidRPr="00DF7823">
        <w:t xml:space="preserve">[2] Xie, M.; Wang, J.; Du, X.L.; Gao, N.; Liu, T.; Li, Z.; Xiao, G.P.; Li, T.; Wang, J.Q. </w:t>
      </w:r>
      <w:r w:rsidRPr="00DF7823">
        <w:rPr>
          <w:i/>
          <w:iCs/>
        </w:rPr>
        <w:t>RSC Advances</w:t>
      </w:r>
      <w:r w:rsidRPr="00DF7823">
        <w:t xml:space="preserve"> </w:t>
      </w:r>
      <w:r w:rsidRPr="00DF7823">
        <w:rPr>
          <w:b/>
          <w:bCs/>
        </w:rPr>
        <w:t>2022</w:t>
      </w:r>
      <w:r w:rsidRPr="00DF7823">
        <w:t>, 12, 32518-32525.</w:t>
      </w:r>
    </w:p>
    <w:p w14:paraId="5EC63DCF" w14:textId="77777777" w:rsidR="008E48B2" w:rsidRPr="00DF7823" w:rsidRDefault="008E48B2" w:rsidP="00BA6F5F"/>
    <w:p w14:paraId="2C2D4E80" w14:textId="2E571B7C" w:rsidR="00BA6F5F" w:rsidRPr="008E48B2" w:rsidRDefault="00BA6F5F" w:rsidP="00BA6F5F">
      <w:pPr>
        <w:rPr>
          <w:b/>
          <w:bCs/>
          <w:sz w:val="18"/>
          <w:szCs w:val="18"/>
        </w:rPr>
      </w:pPr>
      <w:r w:rsidRPr="008E48B2">
        <w:rPr>
          <w:b/>
          <w:bCs/>
          <w:sz w:val="18"/>
          <w:szCs w:val="18"/>
        </w:rPr>
        <w:t>Acknowledgement</w:t>
      </w:r>
    </w:p>
    <w:p w14:paraId="4EB8D703" w14:textId="4B0142CE" w:rsidR="00E0716D" w:rsidRPr="00833D7B" w:rsidRDefault="00BA6F5F" w:rsidP="00C96F84">
      <w:pPr>
        <w:pStyle w:val="BodyTextIndent1"/>
        <w:ind w:firstLine="0"/>
        <w:rPr>
          <w:lang w:val="en-US"/>
        </w:rPr>
      </w:pPr>
      <w:r w:rsidRPr="008E48B2">
        <w:rPr>
          <w:sz w:val="18"/>
          <w:szCs w:val="18"/>
          <w:lang w:val="en-US"/>
        </w:rPr>
        <w:t>This work</w:t>
      </w:r>
      <w:r w:rsidR="00703CA1" w:rsidRPr="008E48B2">
        <w:rPr>
          <w:sz w:val="18"/>
          <w:szCs w:val="18"/>
          <w:lang w:val="en-US"/>
        </w:rPr>
        <w:t xml:space="preserve"> has been developed by project PID2023-1507070B-I00, funded by MCIN/AEI/10.13039/501100011033 and Cabildo de Tenerife-</w:t>
      </w:r>
      <w:proofErr w:type="spellStart"/>
      <w:r w:rsidR="00703CA1" w:rsidRPr="008E48B2">
        <w:rPr>
          <w:sz w:val="18"/>
          <w:szCs w:val="18"/>
          <w:lang w:val="en-US"/>
        </w:rPr>
        <w:t>Talentum</w:t>
      </w:r>
      <w:proofErr w:type="spellEnd"/>
      <w:r w:rsidR="00703CA1" w:rsidRPr="008E48B2">
        <w:rPr>
          <w:sz w:val="18"/>
          <w:szCs w:val="18"/>
          <w:lang w:val="en-US"/>
        </w:rPr>
        <w:t xml:space="preserve"> program. S.D.C acknowledges the latter for his postdoctoral funding. Y.R.D. </w:t>
      </w:r>
      <w:r w:rsidR="007E79D0">
        <w:rPr>
          <w:sz w:val="18"/>
          <w:szCs w:val="18"/>
          <w:lang w:val="en-US"/>
        </w:rPr>
        <w:t xml:space="preserve">and S.D. </w:t>
      </w:r>
      <w:r w:rsidR="00703CA1" w:rsidRPr="008E48B2">
        <w:rPr>
          <w:sz w:val="18"/>
          <w:szCs w:val="18"/>
          <w:lang w:val="en-US"/>
        </w:rPr>
        <w:t xml:space="preserve">acknowledge the ACIISI and European Social Fund (ESF+) Integrated Operational Program for the Canary Islands 2021–2027, Axis 3, Priority Area 74 (85%) for </w:t>
      </w:r>
      <w:r w:rsidR="007E79D0">
        <w:rPr>
          <w:sz w:val="18"/>
          <w:szCs w:val="18"/>
          <w:lang w:val="en-US"/>
        </w:rPr>
        <w:t>their</w:t>
      </w:r>
      <w:r w:rsidR="00703CA1" w:rsidRPr="008E48B2">
        <w:rPr>
          <w:sz w:val="18"/>
          <w:szCs w:val="18"/>
          <w:lang w:val="en-US"/>
        </w:rPr>
        <w:t xml:space="preserve"> PhD program funding (TESIS2022010</w:t>
      </w:r>
      <w:r w:rsidR="005D7537">
        <w:rPr>
          <w:sz w:val="18"/>
          <w:szCs w:val="18"/>
          <w:lang w:val="en-US"/>
        </w:rPr>
        <w:t>103</w:t>
      </w:r>
      <w:r w:rsidR="007E79D0">
        <w:rPr>
          <w:sz w:val="18"/>
          <w:szCs w:val="18"/>
          <w:lang w:val="en-US"/>
        </w:rPr>
        <w:t xml:space="preserve"> y </w:t>
      </w:r>
      <w:r w:rsidR="007E79D0" w:rsidRPr="008E48B2">
        <w:rPr>
          <w:sz w:val="18"/>
          <w:szCs w:val="18"/>
          <w:lang w:val="en-US"/>
        </w:rPr>
        <w:t>TESIS2022010</w:t>
      </w:r>
      <w:r w:rsidR="005D7537">
        <w:rPr>
          <w:sz w:val="18"/>
          <w:szCs w:val="18"/>
          <w:lang w:val="en-US"/>
        </w:rPr>
        <w:t>136</w:t>
      </w:r>
      <w:r w:rsidR="00703CA1" w:rsidRPr="008E48B2">
        <w:rPr>
          <w:sz w:val="18"/>
          <w:szCs w:val="18"/>
          <w:lang w:val="en-US"/>
        </w:rPr>
        <w:t>), as well as the collaboration with CIDETE INGENIEROS S.L. The authors acknowledge the collaboration with SEGAI-ULL.</w:t>
      </w:r>
    </w:p>
    <w:sectPr w:rsidR="00E0716D" w:rsidRPr="00833D7B"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77BBB"/>
    <w:multiLevelType w:val="hybridMultilevel"/>
    <w:tmpl w:val="B02AEDF4"/>
    <w:lvl w:ilvl="0" w:tplc="FA66AEAC">
      <w:start w:val="1"/>
      <w:numFmt w:val="decimal"/>
      <w:lvlText w:val="(%1)"/>
      <w:lvlJc w:val="left"/>
      <w:pPr>
        <w:ind w:left="720" w:hanging="360"/>
      </w:pPr>
      <w:rPr>
        <w:color w:val="000000"/>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start w:val="1"/>
      <w:numFmt w:val="decimal"/>
      <w:lvlText w:val="%4."/>
      <w:lvlJc w:val="left"/>
      <w:pPr>
        <w:ind w:left="2880" w:hanging="360"/>
      </w:pPr>
    </w:lvl>
    <w:lvl w:ilvl="4" w:tplc="0C0A0019">
      <w:start w:val="1"/>
      <w:numFmt w:val="lowerLetter"/>
      <w:lvlText w:val="%5."/>
      <w:lvlJc w:val="left"/>
      <w:pPr>
        <w:ind w:left="3600" w:hanging="360"/>
      </w:pPr>
    </w:lvl>
    <w:lvl w:ilvl="5" w:tplc="0C0A001B">
      <w:start w:val="1"/>
      <w:numFmt w:val="lowerRoman"/>
      <w:lvlText w:val="%6."/>
      <w:lvlJc w:val="right"/>
      <w:pPr>
        <w:ind w:left="4320" w:hanging="180"/>
      </w:pPr>
    </w:lvl>
    <w:lvl w:ilvl="6" w:tplc="0C0A000F">
      <w:start w:val="1"/>
      <w:numFmt w:val="decimal"/>
      <w:lvlText w:val="%7."/>
      <w:lvlJc w:val="left"/>
      <w:pPr>
        <w:ind w:left="5040" w:hanging="360"/>
      </w:pPr>
    </w:lvl>
    <w:lvl w:ilvl="7" w:tplc="0C0A0019">
      <w:start w:val="1"/>
      <w:numFmt w:val="lowerLetter"/>
      <w:lvlText w:val="%8."/>
      <w:lvlJc w:val="left"/>
      <w:pPr>
        <w:ind w:left="5760" w:hanging="360"/>
      </w:pPr>
    </w:lvl>
    <w:lvl w:ilvl="8" w:tplc="0C0A001B">
      <w:start w:val="1"/>
      <w:numFmt w:val="lowerRoman"/>
      <w:lvlText w:val="%9."/>
      <w:lvlJc w:val="right"/>
      <w:pPr>
        <w:ind w:left="6480" w:hanging="180"/>
      </w:pPr>
    </w:lvl>
  </w:abstractNum>
  <w:num w:numId="1" w16cid:durableId="13284347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D1486"/>
    <w:rsid w:val="00140F75"/>
    <w:rsid w:val="001C5700"/>
    <w:rsid w:val="00300E2F"/>
    <w:rsid w:val="00325004"/>
    <w:rsid w:val="003F5BDA"/>
    <w:rsid w:val="00471671"/>
    <w:rsid w:val="004B00BD"/>
    <w:rsid w:val="00536366"/>
    <w:rsid w:val="005A6DBB"/>
    <w:rsid w:val="005D7537"/>
    <w:rsid w:val="00685C1A"/>
    <w:rsid w:val="006B6AE5"/>
    <w:rsid w:val="00703CA1"/>
    <w:rsid w:val="007E79D0"/>
    <w:rsid w:val="00833D7B"/>
    <w:rsid w:val="008E48B2"/>
    <w:rsid w:val="00902403"/>
    <w:rsid w:val="00A45E65"/>
    <w:rsid w:val="00B030D7"/>
    <w:rsid w:val="00BA6F5F"/>
    <w:rsid w:val="00C96F84"/>
    <w:rsid w:val="00DB396D"/>
    <w:rsid w:val="00DF7823"/>
    <w:rsid w:val="00E0716D"/>
    <w:rsid w:val="00EA78BC"/>
    <w:rsid w:val="00F97641"/>
    <w:rsid w:val="00FB46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85FF1AF"/>
  <w14:defaultImageDpi w14:val="300"/>
  <w15:docId w15:val="{DB60C578-9F8A-4CC6-824F-4EC3C32249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Descripcin">
    <w:name w:val="caption"/>
    <w:basedOn w:val="Normal"/>
    <w:next w:val="Normal"/>
    <w:uiPriority w:val="35"/>
    <w:unhideWhenUsed/>
    <w:qFormat/>
    <w:rsid w:val="00BA6F5F"/>
    <w:pPr>
      <w:spacing w:after="200"/>
    </w:pPr>
    <w:rPr>
      <w:i/>
      <w:iCs/>
      <w:color w:val="1F497D" w:themeColor="text2"/>
      <w:sz w:val="18"/>
      <w:szCs w:val="18"/>
    </w:rPr>
  </w:style>
  <w:style w:type="paragraph" w:customStyle="1" w:styleId="BodyTextIndent1">
    <w:name w:val="Body Text Indent1"/>
    <w:basedOn w:val="Normal"/>
    <w:link w:val="BodyTextIndent1Car"/>
    <w:rsid w:val="00BA6F5F"/>
    <w:pPr>
      <w:widowControl/>
      <w:spacing w:after="120"/>
      <w:ind w:firstLine="567"/>
      <w:jc w:val="both"/>
    </w:pPr>
    <w:rPr>
      <w:snapToGrid/>
      <w:sz w:val="24"/>
      <w:szCs w:val="24"/>
      <w:lang w:val="en-GB" w:eastAsia="de-DE"/>
    </w:rPr>
  </w:style>
  <w:style w:type="character" w:customStyle="1" w:styleId="BodyTextIndent1Car">
    <w:name w:val="Body Text Indent1 Car"/>
    <w:link w:val="BodyTextIndent1"/>
    <w:rsid w:val="00BA6F5F"/>
    <w:rPr>
      <w:sz w:val="24"/>
      <w:szCs w:val="24"/>
      <w:lang w:val="en-GB" w:eastAsia="de-DE"/>
    </w:rPr>
  </w:style>
  <w:style w:type="paragraph" w:styleId="Prrafodelista">
    <w:name w:val="List Paragraph"/>
    <w:basedOn w:val="Normal"/>
    <w:uiPriority w:val="34"/>
    <w:qFormat/>
    <w:rsid w:val="008E48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tif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500</Words>
  <Characters>2855</Characters>
  <Application>Microsoft Office Word</Application>
  <DocSecurity>0</DocSecurity>
  <Lines>23</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Title</vt:lpstr>
      <vt:lpstr>Title</vt:lpstr>
    </vt:vector>
  </TitlesOfParts>
  <Company>Electrochemical Society</Company>
  <LinksUpToDate>false</LinksUpToDate>
  <CharactersWithSpaces>3349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Sergio Díaz Coello</cp:lastModifiedBy>
  <cp:revision>5</cp:revision>
  <cp:lastPrinted>2013-10-21T12:07:00Z</cp:lastPrinted>
  <dcterms:created xsi:type="dcterms:W3CDTF">2026-05-30T20:50:00Z</dcterms:created>
  <dcterms:modified xsi:type="dcterms:W3CDTF">2026-06-01T08:40:00Z</dcterms:modified>
</cp:coreProperties>
</file>