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C23" w:rsidRDefault="00E36C23" w:rsidP="00E0716D">
      <w:pPr>
        <w:jc w:val="center"/>
        <w:rPr>
          <w:b/>
          <w:sz w:val="28"/>
        </w:rPr>
      </w:pPr>
    </w:p>
    <w:p w:rsidR="00E36C23" w:rsidRDefault="00E36C23" w:rsidP="00E0716D">
      <w:pPr>
        <w:jc w:val="center"/>
        <w:rPr>
          <w:b/>
          <w:sz w:val="28"/>
        </w:rPr>
      </w:pPr>
    </w:p>
    <w:p w:rsidR="00325004" w:rsidRPr="00A86EB9" w:rsidRDefault="00E36C23" w:rsidP="00E0716D">
      <w:pPr>
        <w:jc w:val="center"/>
        <w:rPr>
          <w:b/>
          <w:sz w:val="28"/>
        </w:rPr>
      </w:pPr>
      <w:r w:rsidRPr="00E36C23">
        <w:rPr>
          <w:b/>
          <w:sz w:val="28"/>
        </w:rPr>
        <w:t>New perspective of electrochemistry originating from the surface engineering through oxygen evolution reaction</w:t>
      </w:r>
    </w:p>
    <w:p w:rsidR="00325004" w:rsidRDefault="00E36C23" w:rsidP="00E0716D">
      <w:pPr>
        <w:jc w:val="center"/>
      </w:pPr>
      <w:proofErr w:type="spellStart"/>
      <w:r w:rsidRPr="00E36C23">
        <w:rPr>
          <w:u w:val="single"/>
        </w:rPr>
        <w:t>Shigeto</w:t>
      </w:r>
      <w:proofErr w:type="spellEnd"/>
      <w:r w:rsidRPr="00E36C23">
        <w:rPr>
          <w:u w:val="single"/>
        </w:rPr>
        <w:t xml:space="preserve"> Hirai</w:t>
      </w:r>
      <w:r w:rsidR="00325004">
        <w:t xml:space="preserve">, </w:t>
      </w:r>
      <w:r>
        <w:t xml:space="preserve">Jeevan Kumar </w:t>
      </w:r>
      <w:proofErr w:type="spellStart"/>
      <w:r>
        <w:t>Padarti</w:t>
      </w:r>
      <w:proofErr w:type="spellEnd"/>
      <w:r>
        <w:t xml:space="preserve">, </w:t>
      </w:r>
      <w:proofErr w:type="spellStart"/>
      <w:r>
        <w:t>Tomoya</w:t>
      </w:r>
      <w:proofErr w:type="spellEnd"/>
      <w:r>
        <w:t xml:space="preserve"> Ohno</w:t>
      </w:r>
    </w:p>
    <w:p w:rsidR="001115DC" w:rsidRDefault="001115DC" w:rsidP="001115DC">
      <w:pPr>
        <w:jc w:val="center"/>
        <w:rPr>
          <w:i/>
        </w:rPr>
      </w:pPr>
      <w:r w:rsidRPr="001115DC">
        <w:rPr>
          <w:i/>
        </w:rPr>
        <w:t>Kitami Institute of Technology</w:t>
      </w:r>
    </w:p>
    <w:p w:rsidR="00325004" w:rsidRPr="001115DC" w:rsidRDefault="001115DC" w:rsidP="001115DC">
      <w:pPr>
        <w:jc w:val="center"/>
        <w:rPr>
          <w:i/>
        </w:rPr>
      </w:pPr>
      <w:r>
        <w:rPr>
          <w:i/>
        </w:rPr>
        <w:t>165 Koen-</w:t>
      </w:r>
      <w:proofErr w:type="spellStart"/>
      <w:r>
        <w:rPr>
          <w:i/>
        </w:rPr>
        <w:t>cho</w:t>
      </w:r>
      <w:proofErr w:type="spellEnd"/>
      <w:r>
        <w:rPr>
          <w:i/>
        </w:rPr>
        <w:t xml:space="preserve">, </w:t>
      </w:r>
      <w:r w:rsidRPr="001115DC">
        <w:rPr>
          <w:i/>
        </w:rPr>
        <w:t xml:space="preserve">Kitami, </w:t>
      </w:r>
      <w:r>
        <w:rPr>
          <w:i/>
        </w:rPr>
        <w:t xml:space="preserve">Hokkaido, </w:t>
      </w:r>
      <w:r w:rsidRPr="001115DC">
        <w:rPr>
          <w:i/>
        </w:rPr>
        <w:t>Japan, 090-8507</w:t>
      </w:r>
    </w:p>
    <w:p w:rsidR="00685C1A" w:rsidRPr="00685C1A" w:rsidRDefault="008430A1" w:rsidP="00E0716D">
      <w:pPr>
        <w:jc w:val="center"/>
        <w:rPr>
          <w:i/>
        </w:rPr>
      </w:pPr>
      <w:r w:rsidRPr="008430A1">
        <w:rPr>
          <w:i/>
        </w:rPr>
        <w:t>hirai@mail.kitami-it.ac.jp</w:t>
      </w:r>
    </w:p>
    <w:p w:rsidR="00325004" w:rsidRDefault="00325004" w:rsidP="00E0716D">
      <w:pPr>
        <w:jc w:val="center"/>
      </w:pPr>
    </w:p>
    <w:p w:rsidR="00E0716D" w:rsidRDefault="00C726EA" w:rsidP="00E0716D">
      <w:pPr>
        <w:jc w:val="both"/>
      </w:pPr>
      <w:r w:rsidRPr="00900966">
        <w:rPr>
          <w:rFonts w:eastAsia="Arial Unicode MS"/>
          <w:noProof/>
          <w:lang w:eastAsia="ja-JP"/>
        </w:rPr>
        <w:drawing>
          <wp:anchor distT="0" distB="0" distL="114300" distR="114300" simplePos="0" relativeHeight="251659264" behindDoc="0" locked="0" layoutInCell="1" allowOverlap="1" wp14:anchorId="6500EDDC" wp14:editId="6FB201B0">
            <wp:simplePos x="0" y="0"/>
            <wp:positionH relativeFrom="margin">
              <wp:posOffset>666750</wp:posOffset>
            </wp:positionH>
            <wp:positionV relativeFrom="paragraph">
              <wp:posOffset>2925445</wp:posOffset>
            </wp:positionV>
            <wp:extent cx="4062730" cy="1800225"/>
            <wp:effectExtent l="0" t="0" r="0" b="9525"/>
            <wp:wrapTopAndBottom/>
            <wp:docPr id="23627424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0767" w:rsidRPr="00D50767">
        <w:t>The oxygen evolution reaction (OER) is an important electrochemical reaction of the water splitting [1] and the rechargeable metal-air batteries [2]. However, the kinetics of OER are sluggish and it is difficult to lower the overpotential even with the OER catalysts, and even the acid stable IrO</w:t>
      </w:r>
      <w:r w:rsidR="00D50767" w:rsidRPr="00FD506C">
        <w:rPr>
          <w:vertAlign w:val="subscript"/>
        </w:rPr>
        <w:t>2</w:t>
      </w:r>
      <w:r w:rsidR="00D50767" w:rsidRPr="00D50767">
        <w:t xml:space="preserve"> suffers from lattice collapse and poor durability [3]. In this talk, </w:t>
      </w:r>
      <w:r w:rsidR="00FD506C" w:rsidRPr="00FD506C">
        <w:t>BaIr</w:t>
      </w:r>
      <w:r w:rsidR="00FD506C" w:rsidRPr="00FD506C">
        <w:rPr>
          <w:vertAlign w:val="subscript"/>
        </w:rPr>
        <w:t>1−x</w:t>
      </w:r>
      <w:r w:rsidR="00FD506C" w:rsidRPr="00FD506C">
        <w:t>Mn</w:t>
      </w:r>
      <w:r w:rsidR="00FD506C" w:rsidRPr="00FD506C">
        <w:rPr>
          <w:vertAlign w:val="subscript"/>
        </w:rPr>
        <w:t>x</w:t>
      </w:r>
      <w:r w:rsidR="00FD506C" w:rsidRPr="00FD506C">
        <w:t>O</w:t>
      </w:r>
      <w:r w:rsidR="00FD506C" w:rsidRPr="00FD506C">
        <w:rPr>
          <w:vertAlign w:val="subscript"/>
        </w:rPr>
        <w:t>3</w:t>
      </w:r>
      <w:r w:rsidR="00D50767" w:rsidRPr="00D50767">
        <w:t xml:space="preserve"> (0.1</w:t>
      </w:r>
      <w:bookmarkStart w:id="0" w:name="_Hlk227850900"/>
      <w:r w:rsidR="00FD506C" w:rsidRPr="00FD506C">
        <w:rPr>
          <w:rFonts w:ascii="Symbol" w:hAnsi="Symbol"/>
        </w:rPr>
        <w:t></w:t>
      </w:r>
      <w:bookmarkEnd w:id="0"/>
      <w:r w:rsidR="00D50767" w:rsidRPr="00D50767">
        <w:t>x</w:t>
      </w:r>
      <w:r w:rsidR="00FD506C" w:rsidRPr="00FD506C">
        <w:rPr>
          <w:rFonts w:ascii="Symbol" w:hAnsi="Symbol"/>
        </w:rPr>
        <w:t></w:t>
      </w:r>
      <w:r w:rsidR="00D50767" w:rsidRPr="00D50767">
        <w:t xml:space="preserve">0.3) and the solution plasma treated </w:t>
      </w:r>
      <w:r w:rsidR="00FD506C">
        <w:t>layered</w:t>
      </w:r>
      <w:r w:rsidR="00D50767" w:rsidRPr="00D50767">
        <w:t xml:space="preserve"> oxides will be introduced as excellent OER catalysts with both high activity and durability [</w:t>
      </w:r>
      <w:r w:rsidR="00FD506C">
        <w:t>4</w:t>
      </w:r>
      <w:r w:rsidR="00D50767" w:rsidRPr="00D50767">
        <w:t>,</w:t>
      </w:r>
      <w:r w:rsidR="00FD506C">
        <w:t>5</w:t>
      </w:r>
      <w:r w:rsidR="00D50767" w:rsidRPr="00D50767">
        <w:t xml:space="preserve">]. </w:t>
      </w:r>
      <w:r w:rsidR="00220FA8">
        <w:t>Firstly</w:t>
      </w:r>
      <w:r w:rsidR="00D50767" w:rsidRPr="00D50767">
        <w:t xml:space="preserve">, </w:t>
      </w:r>
      <w:r w:rsidR="00FD506C" w:rsidRPr="00FD506C">
        <w:t>BaIr</w:t>
      </w:r>
      <w:r w:rsidR="00FD506C" w:rsidRPr="00FD506C">
        <w:rPr>
          <w:vertAlign w:val="subscript"/>
        </w:rPr>
        <w:t>1−x</w:t>
      </w:r>
      <w:r w:rsidR="00FD506C" w:rsidRPr="00FD506C">
        <w:t>Mn</w:t>
      </w:r>
      <w:r w:rsidR="00FD506C" w:rsidRPr="00FD506C">
        <w:rPr>
          <w:vertAlign w:val="subscript"/>
        </w:rPr>
        <w:t>x</w:t>
      </w:r>
      <w:r w:rsidR="00FD506C" w:rsidRPr="00FD506C">
        <w:t>O</w:t>
      </w:r>
      <w:r w:rsidR="00FD506C" w:rsidRPr="00FD506C">
        <w:rPr>
          <w:vertAlign w:val="subscript"/>
        </w:rPr>
        <w:t>3</w:t>
      </w:r>
      <w:r w:rsidR="00FD506C" w:rsidRPr="00FD506C">
        <w:t xml:space="preserve"> (0.1</w:t>
      </w:r>
      <w:r w:rsidR="00FD506C" w:rsidRPr="00FD506C">
        <w:rPr>
          <w:rFonts w:ascii="Symbol" w:hAnsi="Symbol"/>
        </w:rPr>
        <w:t></w:t>
      </w:r>
      <w:r w:rsidR="00FD506C" w:rsidRPr="00FD506C">
        <w:t>x</w:t>
      </w:r>
      <w:r w:rsidR="00FD506C" w:rsidRPr="00FD506C">
        <w:rPr>
          <w:rFonts w:ascii="Symbol" w:hAnsi="Symbol"/>
        </w:rPr>
        <w:t></w:t>
      </w:r>
      <w:r w:rsidR="00FD506C" w:rsidRPr="00FD506C">
        <w:t>0.3)</w:t>
      </w:r>
      <w:r w:rsidR="00FD506C" w:rsidRPr="00FD506C">
        <w:rPr>
          <w:rFonts w:hint="eastAsia"/>
        </w:rPr>
        <w:t xml:space="preserve"> will be introduced</w:t>
      </w:r>
      <w:r w:rsidR="00FD506C" w:rsidRPr="00FD506C">
        <w:t xml:space="preserve">, which is a series of excellent OER catalysts under acidic conditions with both high activity and </w:t>
      </w:r>
      <w:r w:rsidR="00FD506C" w:rsidRPr="00FD506C">
        <w:rPr>
          <w:rFonts w:hint="eastAsia"/>
        </w:rPr>
        <w:t>durability</w:t>
      </w:r>
      <w:r w:rsidR="00220FA8" w:rsidRPr="00D50767">
        <w:t xml:space="preserve"> [</w:t>
      </w:r>
      <w:r w:rsidR="00220FA8">
        <w:t>4</w:t>
      </w:r>
      <w:r w:rsidR="00220FA8" w:rsidRPr="00D50767">
        <w:t>].</w:t>
      </w:r>
      <w:r w:rsidR="00220FA8">
        <w:t xml:space="preserve"> </w:t>
      </w:r>
      <w:r w:rsidR="00FD506C" w:rsidRPr="00FD506C">
        <w:t xml:space="preserve">Specifically, the substitution of the </w:t>
      </w:r>
      <w:proofErr w:type="spellStart"/>
      <w:r w:rsidR="00FD506C" w:rsidRPr="00FD506C">
        <w:t>Ir</w:t>
      </w:r>
      <w:proofErr w:type="spellEnd"/>
      <w:r w:rsidR="00FD506C" w:rsidRPr="00FD506C">
        <w:t>-site with Mn for BaIrO</w:t>
      </w:r>
      <w:r w:rsidR="00FD506C" w:rsidRPr="00FD506C">
        <w:rPr>
          <w:vertAlign w:val="subscript"/>
        </w:rPr>
        <w:t>3</w:t>
      </w:r>
      <w:r w:rsidR="00FD506C" w:rsidRPr="00FD506C">
        <w:t xml:space="preserve"> prevents the lattice collapse after repeated OER cycling, leading to a remarkable activity enhancement by a factor of 28 and an overall improvement in </w:t>
      </w:r>
      <w:r w:rsidR="00FD506C" w:rsidRPr="00FD506C">
        <w:rPr>
          <w:rFonts w:hint="eastAsia"/>
        </w:rPr>
        <w:t>durability</w:t>
      </w:r>
      <w:r w:rsidR="00FD506C" w:rsidRPr="00FD506C">
        <w:t xml:space="preserve"> (Fig. 1)</w:t>
      </w:r>
      <w:r w:rsidR="00553EAF">
        <w:t xml:space="preserve"> [4]</w:t>
      </w:r>
      <w:r w:rsidR="00FD506C" w:rsidRPr="00FD506C">
        <w:t xml:space="preserve">. This dual enhancement of OER performance was accomplished by the novel strategy of balancing the elemental dissolution </w:t>
      </w:r>
      <w:r w:rsidR="00FD506C" w:rsidRPr="00FD506C">
        <w:rPr>
          <w:rFonts w:hint="eastAsia"/>
        </w:rPr>
        <w:t xml:space="preserve">of the electrocatalyst to </w:t>
      </w:r>
      <w:r w:rsidR="00FD506C" w:rsidRPr="00FD506C">
        <w:t xml:space="preserve">obtain highly </w:t>
      </w:r>
      <w:r w:rsidR="00FD506C" w:rsidRPr="00FD506C">
        <w:rPr>
          <w:rFonts w:hint="eastAsia"/>
        </w:rPr>
        <w:t>durable</w:t>
      </w:r>
      <w:r w:rsidR="00FD506C" w:rsidRPr="00FD506C">
        <w:t xml:space="preserve"> and </w:t>
      </w:r>
      <w:r w:rsidR="00FD506C" w:rsidRPr="00FD506C">
        <w:rPr>
          <w:rFonts w:hint="eastAsia"/>
        </w:rPr>
        <w:t>active</w:t>
      </w:r>
      <w:r w:rsidR="00FD506C" w:rsidRPr="00FD506C">
        <w:t xml:space="preserve"> surface structure after repeated OER cycling</w:t>
      </w:r>
      <w:r w:rsidR="00220FA8">
        <w:t xml:space="preserve"> </w:t>
      </w:r>
      <w:r w:rsidR="00220FA8" w:rsidRPr="00D50767">
        <w:t>[</w:t>
      </w:r>
      <w:r w:rsidR="00220FA8">
        <w:t>4</w:t>
      </w:r>
      <w:r w:rsidR="00220FA8">
        <w:t>]</w:t>
      </w:r>
      <w:r w:rsidR="00220FA8" w:rsidRPr="00220FA8">
        <w:t>, benefitting from the robust surface structure with increased electrochemical surface area</w:t>
      </w:r>
      <w:r w:rsidR="00220FA8">
        <w:t xml:space="preserve"> (ECSA)</w:t>
      </w:r>
      <w:r w:rsidR="00FD506C" w:rsidRPr="00FD506C">
        <w:t>.</w:t>
      </w:r>
      <w:r w:rsidR="00220FA8">
        <w:t xml:space="preserve"> </w:t>
      </w:r>
      <w:r w:rsidR="00F61FAD">
        <w:t xml:space="preserve">Secondly, </w:t>
      </w:r>
      <w:r w:rsidR="003E3DD1">
        <w:t>solution plasma treatment in combination with OER for the layered oxide will be introduced as a powerful tool for the dual enhancement of OER activity and durability</w:t>
      </w:r>
      <w:r w:rsidR="008430A1">
        <w:t xml:space="preserve"> </w:t>
      </w:r>
      <w:r w:rsidR="008430A1" w:rsidRPr="00D50767">
        <w:t>[</w:t>
      </w:r>
      <w:r w:rsidR="008430A1">
        <w:t>5</w:t>
      </w:r>
      <w:r w:rsidR="008430A1" w:rsidRPr="00D50767">
        <w:t>]</w:t>
      </w:r>
      <w:r w:rsidR="003E3DD1">
        <w:t xml:space="preserve">. </w:t>
      </w:r>
      <w:r w:rsidR="00D50767" w:rsidRPr="00D50767">
        <w:t>S</w:t>
      </w:r>
      <w:r w:rsidR="003E3DD1">
        <w:t xml:space="preserve">pecifically, </w:t>
      </w:r>
      <w:r w:rsidR="00D50767" w:rsidRPr="00D50767">
        <w:t xml:space="preserve">Mn-doping of the Co-site for </w:t>
      </w:r>
      <w:r w:rsidR="003E3DD1">
        <w:t xml:space="preserve">the </w:t>
      </w:r>
      <w:r w:rsidR="00220FA8" w:rsidRPr="00220FA8">
        <w:t>Ca</w:t>
      </w:r>
      <w:r w:rsidR="00220FA8" w:rsidRPr="00220FA8">
        <w:rPr>
          <w:vertAlign w:val="subscript"/>
        </w:rPr>
        <w:t>3</w:t>
      </w:r>
      <w:r w:rsidR="00220FA8" w:rsidRPr="00220FA8">
        <w:t>Co</w:t>
      </w:r>
      <w:r w:rsidR="00220FA8" w:rsidRPr="00220FA8">
        <w:rPr>
          <w:vertAlign w:val="subscript"/>
        </w:rPr>
        <w:t>4</w:t>
      </w:r>
      <w:r w:rsidR="00220FA8" w:rsidRPr="00220FA8">
        <w:t>O</w:t>
      </w:r>
      <w:r w:rsidR="00220FA8" w:rsidRPr="00220FA8">
        <w:rPr>
          <w:vertAlign w:val="subscript"/>
        </w:rPr>
        <w:t>9</w:t>
      </w:r>
      <w:r w:rsidR="00D50767" w:rsidRPr="00D50767">
        <w:t xml:space="preserve"> in combination with solution plasma treatmen</w:t>
      </w:r>
      <w:r>
        <w:t>t</w:t>
      </w:r>
      <w:r w:rsidR="00D50767" w:rsidRPr="00D50767">
        <w:t xml:space="preserve"> enhances the OER activity </w:t>
      </w:r>
      <w:r w:rsidRPr="00C726EA">
        <w:t xml:space="preserve">by a factor of </w:t>
      </w:r>
      <w:r>
        <w:t xml:space="preserve">11, along with the remarkable enhancement </w:t>
      </w:r>
      <w:r w:rsidRPr="00C726EA">
        <w:t xml:space="preserve">in </w:t>
      </w:r>
      <w:r w:rsidRPr="00C726EA">
        <w:rPr>
          <w:rFonts w:hint="eastAsia"/>
        </w:rPr>
        <w:t>durability</w:t>
      </w:r>
      <w:r>
        <w:t xml:space="preserve"> </w:t>
      </w:r>
      <w:r w:rsidR="00D50767" w:rsidRPr="00D50767">
        <w:t>[</w:t>
      </w:r>
      <w:r w:rsidR="008430A1">
        <w:t>5</w:t>
      </w:r>
      <w:r w:rsidR="00D50767" w:rsidRPr="00D50767">
        <w:t>]</w:t>
      </w:r>
      <w:r>
        <w:t xml:space="preserve">. </w:t>
      </w:r>
      <w:r w:rsidR="0032177F" w:rsidRPr="00FD506C">
        <w:t>This dual enhancement</w:t>
      </w:r>
      <w:r w:rsidR="0032177F">
        <w:t xml:space="preserve"> is enabled by the i</w:t>
      </w:r>
      <w:r>
        <w:t>mprov</w:t>
      </w:r>
      <w:r w:rsidR="0032177F">
        <w:t>ed</w:t>
      </w:r>
      <w:r>
        <w:t xml:space="preserve"> atomic order of the OER active Mn</w:t>
      </w:r>
      <w:r w:rsidRPr="00C726EA">
        <w:rPr>
          <w:vertAlign w:val="superscript"/>
        </w:rPr>
        <w:t>3+</w:t>
      </w:r>
      <w:r>
        <w:t xml:space="preserve">-rich </w:t>
      </w:r>
      <w:r w:rsidR="00895D0D">
        <w:t xml:space="preserve">catalytic </w:t>
      </w:r>
      <w:r>
        <w:t xml:space="preserve">surface, which </w:t>
      </w:r>
      <w:r w:rsidR="0032177F">
        <w:t>is an example of the state-of-the-art</w:t>
      </w:r>
      <w:r>
        <w:t xml:space="preserve"> surface engineering originating from the OER</w:t>
      </w:r>
      <w:r w:rsidR="00D50767" w:rsidRPr="00D50767">
        <w:t>.</w:t>
      </w:r>
    </w:p>
    <w:p w:rsidR="00325004" w:rsidRDefault="00325004" w:rsidP="00E0716D">
      <w:pPr>
        <w:jc w:val="both"/>
        <w:rPr>
          <w:b/>
        </w:rPr>
      </w:pPr>
      <w:bookmarkStart w:id="1" w:name="_GoBack"/>
      <w:bookmarkEnd w:id="1"/>
    </w:p>
    <w:p w:rsidR="00384DC3" w:rsidRDefault="00384DC3" w:rsidP="00C726EA">
      <w:pPr>
        <w:pStyle w:val="a3"/>
        <w:spacing w:line="312" w:lineRule="auto"/>
        <w:jc w:val="both"/>
        <w:rPr>
          <w:b/>
          <w:sz w:val="20"/>
          <w:szCs w:val="20"/>
        </w:rPr>
      </w:pPr>
    </w:p>
    <w:p w:rsidR="00C726EA" w:rsidRPr="00C726EA" w:rsidRDefault="00C726EA" w:rsidP="00C726EA">
      <w:pPr>
        <w:pStyle w:val="a3"/>
        <w:spacing w:line="312" w:lineRule="auto"/>
        <w:jc w:val="both"/>
        <w:rPr>
          <w:b/>
          <w:bCs/>
          <w:iCs/>
          <w:sz w:val="20"/>
          <w:szCs w:val="20"/>
          <w:lang w:val="en-AU"/>
        </w:rPr>
      </w:pPr>
      <w:r w:rsidRPr="00C726EA">
        <w:rPr>
          <w:b/>
          <w:sz w:val="20"/>
          <w:szCs w:val="20"/>
        </w:rPr>
        <w:t xml:space="preserve">Fig. 1 </w:t>
      </w:r>
      <w:r w:rsidRPr="00C726EA">
        <w:rPr>
          <w:b/>
          <w:bCs/>
          <w:iCs/>
          <w:sz w:val="20"/>
          <w:szCs w:val="20"/>
          <w:lang w:val="en-AU"/>
        </w:rPr>
        <w:t xml:space="preserve">Schematic representation of the surface </w:t>
      </w:r>
      <w:r w:rsidRPr="00C726EA">
        <w:rPr>
          <w:rFonts w:hint="eastAsia"/>
          <w:b/>
          <w:bCs/>
          <w:iCs/>
          <w:sz w:val="20"/>
          <w:szCs w:val="20"/>
          <w:lang w:val="en-AU"/>
        </w:rPr>
        <w:t>s</w:t>
      </w:r>
      <w:r w:rsidRPr="00C726EA">
        <w:rPr>
          <w:b/>
          <w:bCs/>
          <w:iCs/>
          <w:sz w:val="20"/>
          <w:szCs w:val="20"/>
          <w:lang w:val="en-AU"/>
        </w:rPr>
        <w:t>tructure in BaIr</w:t>
      </w:r>
      <w:r w:rsidRPr="00C726EA">
        <w:rPr>
          <w:b/>
          <w:bCs/>
          <w:iCs/>
          <w:sz w:val="20"/>
          <w:szCs w:val="20"/>
          <w:vertAlign w:val="subscript"/>
          <w:lang w:val="en-AU"/>
        </w:rPr>
        <w:t>1−x</w:t>
      </w:r>
      <w:r w:rsidRPr="00C726EA">
        <w:rPr>
          <w:b/>
          <w:bCs/>
          <w:iCs/>
          <w:sz w:val="20"/>
          <w:szCs w:val="20"/>
          <w:lang w:val="en-AU"/>
        </w:rPr>
        <w:t>Mn</w:t>
      </w:r>
      <w:r w:rsidRPr="00C726EA">
        <w:rPr>
          <w:b/>
          <w:bCs/>
          <w:iCs/>
          <w:sz w:val="20"/>
          <w:szCs w:val="20"/>
          <w:vertAlign w:val="subscript"/>
          <w:lang w:val="en-AU"/>
        </w:rPr>
        <w:t>x</w:t>
      </w:r>
      <w:r w:rsidRPr="00C726EA">
        <w:rPr>
          <w:b/>
          <w:bCs/>
          <w:iCs/>
          <w:sz w:val="20"/>
          <w:szCs w:val="20"/>
          <w:lang w:val="en-AU"/>
        </w:rPr>
        <w:t>O</w:t>
      </w:r>
      <w:r w:rsidRPr="00C726EA">
        <w:rPr>
          <w:b/>
          <w:bCs/>
          <w:iCs/>
          <w:sz w:val="20"/>
          <w:szCs w:val="20"/>
          <w:vertAlign w:val="subscript"/>
          <w:lang w:val="en-AU"/>
        </w:rPr>
        <w:t>3</w:t>
      </w:r>
      <w:r w:rsidRPr="00C726EA">
        <w:rPr>
          <w:b/>
          <w:bCs/>
          <w:iCs/>
          <w:sz w:val="20"/>
          <w:szCs w:val="20"/>
          <w:lang w:val="en-AU"/>
        </w:rPr>
        <w:t xml:space="preserve"> after </w:t>
      </w:r>
      <w:r w:rsidRPr="00C726EA">
        <w:rPr>
          <w:rFonts w:hint="eastAsia"/>
          <w:b/>
          <w:bCs/>
          <w:iCs/>
          <w:sz w:val="20"/>
          <w:szCs w:val="20"/>
          <w:lang w:val="en-AU"/>
        </w:rPr>
        <w:t>1</w:t>
      </w:r>
      <w:r w:rsidRPr="00C726EA">
        <w:rPr>
          <w:b/>
          <w:bCs/>
          <w:iCs/>
          <w:sz w:val="20"/>
          <w:szCs w:val="20"/>
          <w:lang w:val="en-AU"/>
        </w:rPr>
        <w:t xml:space="preserve">000 OER cycles, and </w:t>
      </w:r>
      <w:r w:rsidRPr="00C726EA">
        <w:rPr>
          <w:rFonts w:hint="eastAsia"/>
          <w:b/>
          <w:bCs/>
          <w:sz w:val="20"/>
          <w:szCs w:val="20"/>
          <w:lang w:val="en-AU"/>
        </w:rPr>
        <w:t>i</w:t>
      </w:r>
      <w:r w:rsidRPr="00C726EA">
        <w:rPr>
          <w:b/>
          <w:bCs/>
          <w:sz w:val="20"/>
          <w:szCs w:val="20"/>
          <w:lang w:val="en-AU"/>
        </w:rPr>
        <w:t>ts cycle dependence of the linear sweep voltammograms for BaIr</w:t>
      </w:r>
      <w:r w:rsidRPr="00C726EA">
        <w:rPr>
          <w:b/>
          <w:bCs/>
          <w:sz w:val="20"/>
          <w:szCs w:val="20"/>
          <w:vertAlign w:val="subscript"/>
          <w:lang w:val="en-AU"/>
        </w:rPr>
        <w:t>0.8</w:t>
      </w:r>
      <w:r w:rsidRPr="00C726EA">
        <w:rPr>
          <w:b/>
          <w:bCs/>
          <w:sz w:val="20"/>
          <w:szCs w:val="20"/>
          <w:lang w:val="en-AU"/>
        </w:rPr>
        <w:t>Mn</w:t>
      </w:r>
      <w:r w:rsidRPr="00C726EA">
        <w:rPr>
          <w:b/>
          <w:bCs/>
          <w:sz w:val="20"/>
          <w:szCs w:val="20"/>
          <w:vertAlign w:val="subscript"/>
          <w:lang w:val="en-AU"/>
        </w:rPr>
        <w:t>0.2</w:t>
      </w:r>
      <w:r w:rsidRPr="00C726EA">
        <w:rPr>
          <w:b/>
          <w:bCs/>
          <w:sz w:val="20"/>
          <w:szCs w:val="20"/>
          <w:lang w:val="en-AU"/>
        </w:rPr>
        <w:t>O</w:t>
      </w:r>
      <w:r w:rsidRPr="00C726EA">
        <w:rPr>
          <w:b/>
          <w:bCs/>
          <w:sz w:val="20"/>
          <w:szCs w:val="20"/>
          <w:vertAlign w:val="subscript"/>
          <w:lang w:val="en-AU"/>
        </w:rPr>
        <w:t>3</w:t>
      </w:r>
      <w:r w:rsidRPr="00C726EA">
        <w:rPr>
          <w:b/>
          <w:bCs/>
          <w:sz w:val="20"/>
          <w:szCs w:val="20"/>
          <w:lang w:val="en-AU"/>
        </w:rPr>
        <w:t>.</w:t>
      </w:r>
    </w:p>
    <w:p w:rsidR="00C726EA" w:rsidRPr="008430A1" w:rsidRDefault="00C726EA" w:rsidP="00E0716D">
      <w:pPr>
        <w:jc w:val="both"/>
        <w:rPr>
          <w:lang w:val="en-AU"/>
        </w:rPr>
      </w:pPr>
    </w:p>
    <w:p w:rsidR="008430A1" w:rsidRPr="008430A1" w:rsidRDefault="008430A1" w:rsidP="008430A1">
      <w:pPr>
        <w:jc w:val="both"/>
      </w:pPr>
    </w:p>
    <w:p w:rsidR="00553EAF" w:rsidRPr="00553EAF" w:rsidRDefault="008430A1" w:rsidP="008430A1">
      <w:pPr>
        <w:jc w:val="both"/>
        <w:rPr>
          <w:b/>
        </w:rPr>
      </w:pPr>
      <w:r w:rsidRPr="00553EAF">
        <w:rPr>
          <w:b/>
        </w:rPr>
        <w:t>References</w:t>
      </w:r>
      <w:r w:rsidR="00553EAF">
        <w:rPr>
          <w:b/>
        </w:rPr>
        <w:t>:</w:t>
      </w:r>
    </w:p>
    <w:p w:rsidR="008430A1" w:rsidRDefault="008430A1" w:rsidP="008430A1">
      <w:pPr>
        <w:jc w:val="both"/>
      </w:pPr>
      <w:r>
        <w:t>1.</w:t>
      </w:r>
      <w:r>
        <w:rPr>
          <w:rFonts w:hint="eastAsia"/>
          <w:lang w:eastAsia="ja-JP"/>
        </w:rPr>
        <w:t xml:space="preserve"> </w:t>
      </w:r>
      <w:r>
        <w:t xml:space="preserve">T. E. </w:t>
      </w:r>
      <w:proofErr w:type="spellStart"/>
      <w:r>
        <w:t>Mallouk</w:t>
      </w:r>
      <w:proofErr w:type="spellEnd"/>
      <w:r>
        <w:t xml:space="preserve">, </w:t>
      </w:r>
      <w:r w:rsidRPr="008430A1">
        <w:rPr>
          <w:i/>
        </w:rPr>
        <w:t xml:space="preserve">Nat. Chem. </w:t>
      </w:r>
      <w:r w:rsidRPr="008430A1">
        <w:rPr>
          <w:b/>
        </w:rPr>
        <w:t>5</w:t>
      </w:r>
      <w:r>
        <w:t>, 362-363 (2013).</w:t>
      </w:r>
    </w:p>
    <w:p w:rsidR="008430A1" w:rsidRDefault="008430A1" w:rsidP="008430A1">
      <w:pPr>
        <w:jc w:val="both"/>
      </w:pPr>
      <w:r>
        <w:t>2.</w:t>
      </w:r>
      <w:r>
        <w:t xml:space="preserve"> </w:t>
      </w:r>
      <w:r>
        <w:t>Y. C. Lu et al.,</w:t>
      </w:r>
      <w:r w:rsidRPr="008430A1">
        <w:rPr>
          <w:i/>
        </w:rPr>
        <w:t xml:space="preserve"> J. Am. Chem. Soc.</w:t>
      </w:r>
      <w:r>
        <w:t xml:space="preserve"> </w:t>
      </w:r>
      <w:r w:rsidRPr="008430A1">
        <w:rPr>
          <w:b/>
        </w:rPr>
        <w:t>132</w:t>
      </w:r>
      <w:r>
        <w:t>, 12170-12171 (2010).</w:t>
      </w:r>
    </w:p>
    <w:p w:rsidR="008430A1" w:rsidRDefault="008430A1" w:rsidP="008430A1">
      <w:pPr>
        <w:jc w:val="both"/>
      </w:pPr>
      <w:r>
        <w:t>3.</w:t>
      </w:r>
      <w:r>
        <w:t xml:space="preserve"> </w:t>
      </w:r>
      <w:r>
        <w:t xml:space="preserve">C. W. Song et al., </w:t>
      </w:r>
      <w:r w:rsidRPr="008430A1">
        <w:rPr>
          <w:i/>
        </w:rPr>
        <w:t xml:space="preserve">Energy Environ. Sci. </w:t>
      </w:r>
      <w:r w:rsidRPr="008430A1">
        <w:rPr>
          <w:b/>
        </w:rPr>
        <w:t>13</w:t>
      </w:r>
      <w:r>
        <w:t>, 4178-4188 (2020).</w:t>
      </w:r>
    </w:p>
    <w:p w:rsidR="008430A1" w:rsidRDefault="008430A1" w:rsidP="008430A1">
      <w:pPr>
        <w:jc w:val="both"/>
      </w:pPr>
      <w:r>
        <w:t>4</w:t>
      </w:r>
      <w:r>
        <w:t>.</w:t>
      </w:r>
      <w:r>
        <w:t xml:space="preserve"> </w:t>
      </w:r>
      <w:r>
        <w:t xml:space="preserve">S. Hirai et al., </w:t>
      </w:r>
      <w:r w:rsidRPr="008430A1">
        <w:rPr>
          <w:i/>
        </w:rPr>
        <w:t xml:space="preserve">RSC Adv. </w:t>
      </w:r>
      <w:r w:rsidRPr="008430A1">
        <w:rPr>
          <w:b/>
        </w:rPr>
        <w:t>12</w:t>
      </w:r>
      <w:r>
        <w:t>, 24427-24438 (2022).</w:t>
      </w:r>
    </w:p>
    <w:p w:rsidR="00E0716D" w:rsidRDefault="008430A1" w:rsidP="00E0716D">
      <w:pPr>
        <w:jc w:val="both"/>
      </w:pPr>
      <w:r>
        <w:t>5</w:t>
      </w:r>
      <w:r>
        <w:t>.</w:t>
      </w:r>
      <w:r>
        <w:t xml:space="preserve"> </w:t>
      </w:r>
      <w:r w:rsidRPr="008430A1">
        <w:t xml:space="preserve">S. Hirai et al., </w:t>
      </w:r>
      <w:r w:rsidRPr="008430A1">
        <w:rPr>
          <w:bCs/>
          <w:i/>
          <w:iCs/>
        </w:rPr>
        <w:t>Sustainable Energy Fuels</w:t>
      </w:r>
      <w:r w:rsidRPr="008430A1">
        <w:rPr>
          <w:bCs/>
          <w:iCs/>
        </w:rPr>
        <w:t xml:space="preserve"> </w:t>
      </w:r>
      <w:r w:rsidRPr="008430A1">
        <w:rPr>
          <w:b/>
          <w:bCs/>
        </w:rPr>
        <w:t>8</w:t>
      </w:r>
      <w:r w:rsidRPr="008430A1">
        <w:t>, 789-796 (2024).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1115DC"/>
    <w:rsid w:val="00220FA8"/>
    <w:rsid w:val="0032177F"/>
    <w:rsid w:val="00325004"/>
    <w:rsid w:val="00384DC3"/>
    <w:rsid w:val="003E3DD1"/>
    <w:rsid w:val="00536366"/>
    <w:rsid w:val="00553EAF"/>
    <w:rsid w:val="00685C1A"/>
    <w:rsid w:val="008430A1"/>
    <w:rsid w:val="00895D0D"/>
    <w:rsid w:val="00C726EA"/>
    <w:rsid w:val="00D50767"/>
    <w:rsid w:val="00E0716D"/>
    <w:rsid w:val="00E36C23"/>
    <w:rsid w:val="00F61FAD"/>
    <w:rsid w:val="00F97641"/>
    <w:rsid w:val="00FD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0F98B7"/>
  <w14:defaultImageDpi w14:val="300"/>
  <w15:docId w15:val="{1F6FE1BE-2F3D-484D-85D5-9BBFBBC0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716D"/>
    <w:pPr>
      <w:widowControl w:val="0"/>
    </w:pPr>
    <w:rPr>
      <w:snapToGrid w:val="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726EA"/>
    <w:pPr>
      <w:autoSpaceDE w:val="0"/>
      <w:autoSpaceDN w:val="0"/>
    </w:pPr>
    <w:rPr>
      <w:rFonts w:eastAsia="Times New Roman"/>
      <w:snapToGrid/>
      <w:sz w:val="22"/>
      <w:szCs w:val="22"/>
    </w:rPr>
  </w:style>
  <w:style w:type="character" w:customStyle="1" w:styleId="a4">
    <w:name w:val="本文 (文字)"/>
    <w:basedOn w:val="a0"/>
    <w:link w:val="a3"/>
    <w:uiPriority w:val="1"/>
    <w:rsid w:val="00C726EA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HIRAI</cp:lastModifiedBy>
  <cp:revision>4</cp:revision>
  <cp:lastPrinted>2013-10-21T12:07:00Z</cp:lastPrinted>
  <dcterms:created xsi:type="dcterms:W3CDTF">2026-04-23T07:30:00Z</dcterms:created>
  <dcterms:modified xsi:type="dcterms:W3CDTF">2026-04-23T07:32:00Z</dcterms:modified>
</cp:coreProperties>
</file>