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1DEBF" w14:textId="12EA64A6" w:rsidR="00DA7A89" w:rsidRDefault="00DA7A89" w:rsidP="002559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C1E">
        <w:rPr>
          <w:rFonts w:ascii="Times New Roman" w:hAnsi="Times New Roman" w:cs="Times New Roman"/>
          <w:b/>
          <w:bCs/>
          <w:sz w:val="28"/>
          <w:szCs w:val="28"/>
        </w:rPr>
        <w:t xml:space="preserve">LYNF </w:t>
      </w:r>
      <w:r w:rsidR="00255933" w:rsidRPr="007C2C1E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7C2C1E">
        <w:rPr>
          <w:rFonts w:ascii="Times New Roman" w:hAnsi="Times New Roman" w:cs="Times New Roman"/>
          <w:b/>
          <w:bCs/>
          <w:sz w:val="28"/>
          <w:szCs w:val="28"/>
        </w:rPr>
        <w:t xml:space="preserve">erovskite </w:t>
      </w:r>
      <w:r w:rsidR="00255933" w:rsidRPr="007C2C1E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Pr="007C2C1E">
        <w:rPr>
          <w:rFonts w:ascii="Times New Roman" w:hAnsi="Times New Roman" w:cs="Times New Roman"/>
          <w:b/>
          <w:bCs/>
          <w:sz w:val="28"/>
          <w:szCs w:val="28"/>
        </w:rPr>
        <w:t>inc</w:t>
      </w:r>
      <w:r w:rsidR="000B63D2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255933" w:rsidRPr="007C2C1E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7C2C1E">
        <w:rPr>
          <w:rFonts w:ascii="Times New Roman" w:hAnsi="Times New Roman" w:cs="Times New Roman"/>
          <w:b/>
          <w:bCs/>
          <w:sz w:val="28"/>
          <w:szCs w:val="28"/>
        </w:rPr>
        <w:t xml:space="preserve">ir </w:t>
      </w:r>
      <w:r w:rsidR="00255933" w:rsidRPr="007C2C1E"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Pr="007C2C1E">
        <w:rPr>
          <w:rFonts w:ascii="Times New Roman" w:hAnsi="Times New Roman" w:cs="Times New Roman"/>
          <w:b/>
          <w:bCs/>
          <w:sz w:val="28"/>
          <w:szCs w:val="28"/>
        </w:rPr>
        <w:t>attery</w:t>
      </w:r>
    </w:p>
    <w:p w14:paraId="1CE7280E" w14:textId="77777777" w:rsidR="003E601E" w:rsidRPr="007C2C1E" w:rsidRDefault="003E601E" w:rsidP="002559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4C7800" w14:textId="4523FBA3" w:rsidR="009D7320" w:rsidRPr="00255933" w:rsidRDefault="00255933" w:rsidP="00255933">
      <w:pPr>
        <w:spacing w:after="0" w:line="240" w:lineRule="auto"/>
        <w:jc w:val="center"/>
        <w:rPr>
          <w:rFonts w:ascii="Times New Roman" w:hAnsi="Times New Roman" w:cs="Times New Roman"/>
          <w:iCs/>
          <w:sz w:val="20"/>
          <w:szCs w:val="20"/>
          <w:lang w:val="pl-PL"/>
        </w:rPr>
      </w:pPr>
      <w:r w:rsidRPr="00255933">
        <w:rPr>
          <w:rFonts w:ascii="Times New Roman" w:hAnsi="Times New Roman" w:cs="Times New Roman"/>
          <w:iCs/>
          <w:sz w:val="20"/>
          <w:szCs w:val="20"/>
          <w:u w:val="single"/>
          <w:lang w:val="pl-PL"/>
        </w:rPr>
        <w:t>Monika Srivastava</w:t>
      </w:r>
      <w:r w:rsidRPr="00255933">
        <w:rPr>
          <w:rFonts w:ascii="Times New Roman" w:hAnsi="Times New Roman" w:cs="Times New Roman"/>
          <w:iCs/>
          <w:sz w:val="20"/>
          <w:szCs w:val="20"/>
          <w:lang w:val="pl-PL"/>
        </w:rPr>
        <w:t>,</w:t>
      </w:r>
      <w:r w:rsidRPr="00255933">
        <w:rPr>
          <w:rFonts w:ascii="Times New Roman" w:hAnsi="Times New Roman" w:cs="Times New Roman"/>
          <w:iCs/>
          <w:sz w:val="20"/>
          <w:szCs w:val="20"/>
          <w:vertAlign w:val="superscript"/>
          <w:lang w:val="pl-PL"/>
        </w:rPr>
        <w:t>a</w:t>
      </w:r>
      <w:r w:rsidR="000A730F">
        <w:rPr>
          <w:rFonts w:ascii="Times New Roman" w:hAnsi="Times New Roman" w:cs="Times New Roman"/>
          <w:iCs/>
          <w:sz w:val="20"/>
          <w:szCs w:val="20"/>
          <w:vertAlign w:val="superscript"/>
          <w:lang w:val="pl-PL"/>
        </w:rPr>
        <w:t>,*</w:t>
      </w:r>
      <w:r w:rsidRPr="00255933">
        <w:rPr>
          <w:rFonts w:ascii="Times New Roman" w:hAnsi="Times New Roman" w:cs="Times New Roman"/>
          <w:iCs/>
          <w:sz w:val="20"/>
          <w:szCs w:val="20"/>
          <w:vertAlign w:val="superscript"/>
          <w:lang w:val="pl-PL"/>
        </w:rPr>
        <w:t xml:space="preserve"> </w:t>
      </w:r>
      <w:r w:rsidRPr="00255933">
        <w:rPr>
          <w:rFonts w:ascii="Times New Roman" w:hAnsi="Times New Roman" w:cs="Times New Roman"/>
          <w:iCs/>
          <w:sz w:val="20"/>
          <w:szCs w:val="20"/>
          <w:lang w:val="pl-PL"/>
        </w:rPr>
        <w:t>Sandra Sajeev,</w:t>
      </w:r>
      <w:r w:rsidRPr="00255933">
        <w:rPr>
          <w:rFonts w:ascii="Times New Roman" w:hAnsi="Times New Roman" w:cs="Times New Roman"/>
          <w:iCs/>
          <w:sz w:val="20"/>
          <w:szCs w:val="20"/>
          <w:vertAlign w:val="superscript"/>
          <w:lang w:val="pl-PL"/>
        </w:rPr>
        <w:t xml:space="preserve"> a</w:t>
      </w:r>
      <w:r w:rsidRPr="00255933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 Anurag Srivastava,</w:t>
      </w:r>
      <w:r w:rsidRPr="00255933">
        <w:rPr>
          <w:rFonts w:ascii="Times New Roman" w:hAnsi="Times New Roman" w:cs="Times New Roman"/>
          <w:iCs/>
          <w:sz w:val="20"/>
          <w:szCs w:val="20"/>
          <w:vertAlign w:val="superscript"/>
          <w:lang w:val="pl-PL"/>
        </w:rPr>
        <w:t>c</w:t>
      </w:r>
      <w:r w:rsidRPr="00255933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 Wiktor K</w:t>
      </w:r>
      <w:r w:rsidR="001E4D76">
        <w:rPr>
          <w:rFonts w:ascii="Times New Roman" w:hAnsi="Times New Roman" w:cs="Times New Roman"/>
          <w:iCs/>
          <w:sz w:val="20"/>
          <w:szCs w:val="20"/>
          <w:lang w:val="pl-PL"/>
        </w:rPr>
        <w:t>e</w:t>
      </w:r>
      <w:r w:rsidRPr="00255933">
        <w:rPr>
          <w:rFonts w:ascii="Times New Roman" w:hAnsi="Times New Roman" w:cs="Times New Roman"/>
          <w:iCs/>
          <w:sz w:val="20"/>
          <w:szCs w:val="20"/>
          <w:lang w:val="pl-PL"/>
        </w:rPr>
        <w:t>pi</w:t>
      </w:r>
      <w:r w:rsidR="001E4D76">
        <w:rPr>
          <w:rFonts w:ascii="Times New Roman" w:hAnsi="Times New Roman" w:cs="Times New Roman"/>
          <w:iCs/>
          <w:sz w:val="20"/>
          <w:szCs w:val="20"/>
          <w:lang w:val="pl-PL"/>
        </w:rPr>
        <w:t>n</w:t>
      </w:r>
      <w:r w:rsidRPr="00255933">
        <w:rPr>
          <w:rFonts w:ascii="Times New Roman" w:hAnsi="Times New Roman" w:cs="Times New Roman"/>
          <w:iCs/>
          <w:sz w:val="20"/>
          <w:szCs w:val="20"/>
          <w:lang w:val="pl-PL"/>
        </w:rPr>
        <w:t>ski,</w:t>
      </w:r>
      <w:r w:rsidRPr="00255933">
        <w:rPr>
          <w:rFonts w:ascii="Times New Roman" w:hAnsi="Times New Roman" w:cs="Times New Roman"/>
          <w:iCs/>
          <w:sz w:val="20"/>
          <w:szCs w:val="20"/>
          <w:vertAlign w:val="superscript"/>
          <w:lang w:val="pl-PL"/>
        </w:rPr>
        <w:t>a</w:t>
      </w:r>
      <w:r w:rsidRPr="00255933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 Damian Kowalski</w:t>
      </w:r>
      <w:r w:rsidRPr="00255933">
        <w:rPr>
          <w:rFonts w:ascii="Times New Roman" w:hAnsi="Times New Roman" w:cs="Times New Roman"/>
          <w:iCs/>
          <w:sz w:val="20"/>
          <w:szCs w:val="20"/>
          <w:vertAlign w:val="superscript"/>
          <w:lang w:val="pl-PL"/>
        </w:rPr>
        <w:t>a,b</w:t>
      </w:r>
    </w:p>
    <w:p w14:paraId="6DB1BD71" w14:textId="77777777" w:rsidR="00255933" w:rsidRDefault="00255933" w:rsidP="007C2C1E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</w:p>
    <w:p w14:paraId="471AB619" w14:textId="2CE1CE3D" w:rsidR="00255933" w:rsidRPr="00255933" w:rsidRDefault="00255933" w:rsidP="0025593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55933">
        <w:rPr>
          <w:rFonts w:ascii="Times New Roman" w:hAnsi="Times New Roman" w:cs="Times New Roman"/>
          <w:i/>
          <w:sz w:val="20"/>
          <w:szCs w:val="20"/>
          <w:vertAlign w:val="superscript"/>
        </w:rPr>
        <w:t>a</w:t>
      </w:r>
      <w:r w:rsidRPr="00255933">
        <w:rPr>
          <w:rFonts w:ascii="Times New Roman" w:hAnsi="Times New Roman" w:cs="Times New Roman"/>
          <w:i/>
          <w:sz w:val="20"/>
          <w:szCs w:val="20"/>
        </w:rPr>
        <w:t xml:space="preserve"> Faculty of Chemistry, University of Warsaw, Pasteura 1, 02-093 Warsaw, Poland</w:t>
      </w:r>
    </w:p>
    <w:p w14:paraId="66C8B499" w14:textId="77777777" w:rsidR="00255933" w:rsidRPr="00255933" w:rsidRDefault="00255933" w:rsidP="0025593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55933">
        <w:rPr>
          <w:rFonts w:ascii="Times New Roman" w:hAnsi="Times New Roman" w:cs="Times New Roman"/>
          <w:i/>
          <w:sz w:val="20"/>
          <w:szCs w:val="20"/>
          <w:vertAlign w:val="superscript"/>
        </w:rPr>
        <w:t>b</w:t>
      </w:r>
      <w:r w:rsidRPr="00255933">
        <w:rPr>
          <w:rFonts w:ascii="Times New Roman" w:hAnsi="Times New Roman" w:cs="Times New Roman"/>
          <w:i/>
          <w:sz w:val="20"/>
          <w:szCs w:val="20"/>
        </w:rPr>
        <w:t xml:space="preserve"> CNBCh, University of Warsaw, Zwirki i Wigury 101, 02-089 Warsaw, Poland</w:t>
      </w:r>
    </w:p>
    <w:p w14:paraId="3CC5316A" w14:textId="77777777" w:rsidR="00255933" w:rsidRPr="00255933" w:rsidRDefault="00255933" w:rsidP="0025593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55933">
        <w:rPr>
          <w:rFonts w:ascii="Times New Roman" w:hAnsi="Times New Roman" w:cs="Times New Roman"/>
          <w:i/>
          <w:sz w:val="20"/>
          <w:szCs w:val="20"/>
          <w:vertAlign w:val="superscript"/>
        </w:rPr>
        <w:t>c</w:t>
      </w:r>
      <w:r w:rsidRPr="00255933">
        <w:rPr>
          <w:rFonts w:ascii="Times New Roman" w:hAnsi="Times New Roman" w:cs="Times New Roman"/>
          <w:i/>
          <w:sz w:val="20"/>
          <w:szCs w:val="20"/>
        </w:rPr>
        <w:t xml:space="preserve"> ABV-Indian Institute of Information Technology &amp; Management, Gwalior-474015, MP, India</w:t>
      </w:r>
    </w:p>
    <w:p w14:paraId="11D4CF00" w14:textId="0699FFDE" w:rsidR="00DA7A89" w:rsidRPr="00255933" w:rsidRDefault="00255933" w:rsidP="000A730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55933">
        <w:rPr>
          <w:rFonts w:ascii="Times New Roman" w:hAnsi="Times New Roman" w:cs="Times New Roman"/>
          <w:i/>
          <w:sz w:val="20"/>
          <w:szCs w:val="20"/>
          <w:vertAlign w:val="superscript"/>
        </w:rPr>
        <w:t>*</w:t>
      </w:r>
      <w:r w:rsidR="000A730F" w:rsidRPr="000A730F">
        <w:rPr>
          <w:rFonts w:ascii="Times New Roman" w:hAnsi="Times New Roman" w:cs="Times New Roman"/>
          <w:i/>
          <w:sz w:val="20"/>
          <w:szCs w:val="20"/>
        </w:rPr>
        <w:t>m.srivastava@uw.edu.pl</w:t>
      </w:r>
    </w:p>
    <w:p w14:paraId="5CEACBE2" w14:textId="77777777" w:rsidR="000A730F" w:rsidRDefault="000A730F" w:rsidP="002559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889541" w14:textId="77777777" w:rsidR="00A9010D" w:rsidRDefault="00A9010D" w:rsidP="002559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BDF4806" w14:textId="187BED0D" w:rsidR="00644F25" w:rsidRDefault="002F4661" w:rsidP="002559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5933">
        <w:rPr>
          <w:rFonts w:ascii="Times New Roman" w:hAnsi="Times New Roman" w:cs="Times New Roman"/>
          <w:sz w:val="20"/>
          <w:szCs w:val="20"/>
        </w:rPr>
        <w:t xml:space="preserve">The </w:t>
      </w:r>
      <w:r w:rsidR="0064038A" w:rsidRPr="00255933">
        <w:rPr>
          <w:rFonts w:ascii="Times New Roman" w:hAnsi="Times New Roman" w:cs="Times New Roman"/>
          <w:sz w:val="20"/>
          <w:szCs w:val="20"/>
        </w:rPr>
        <w:t>growing</w:t>
      </w:r>
      <w:r w:rsidR="00FE75B3" w:rsidRPr="00255933">
        <w:rPr>
          <w:rFonts w:ascii="Times New Roman" w:hAnsi="Times New Roman" w:cs="Times New Roman"/>
          <w:sz w:val="20"/>
          <w:szCs w:val="20"/>
        </w:rPr>
        <w:t xml:space="preserve"> demand for</w:t>
      </w:r>
      <w:r w:rsidRPr="00255933">
        <w:rPr>
          <w:rFonts w:ascii="Times New Roman" w:hAnsi="Times New Roman" w:cs="Times New Roman"/>
          <w:sz w:val="20"/>
          <w:szCs w:val="20"/>
        </w:rPr>
        <w:t xml:space="preserve"> </w:t>
      </w:r>
      <w:r w:rsidR="00FE75B3" w:rsidRPr="00255933">
        <w:rPr>
          <w:rFonts w:ascii="Times New Roman" w:hAnsi="Times New Roman" w:cs="Times New Roman"/>
          <w:sz w:val="20"/>
          <w:szCs w:val="20"/>
        </w:rPr>
        <w:t>low-cost</w:t>
      </w:r>
      <w:r w:rsidRPr="00255933">
        <w:rPr>
          <w:rFonts w:ascii="Times New Roman" w:hAnsi="Times New Roman" w:cs="Times New Roman"/>
          <w:sz w:val="20"/>
          <w:szCs w:val="20"/>
        </w:rPr>
        <w:t xml:space="preserve">, highly efficient </w:t>
      </w:r>
      <w:r w:rsidR="00FE75B3" w:rsidRPr="00255933">
        <w:rPr>
          <w:rFonts w:ascii="Times New Roman" w:hAnsi="Times New Roman" w:cs="Times New Roman"/>
          <w:sz w:val="20"/>
          <w:szCs w:val="20"/>
        </w:rPr>
        <w:t>non-noble-metal electrocatalysts has garnered extensive attention to</w:t>
      </w:r>
      <w:r w:rsidR="0064038A" w:rsidRPr="00255933">
        <w:rPr>
          <w:rFonts w:ascii="Times New Roman" w:hAnsi="Times New Roman" w:cs="Times New Roman"/>
          <w:sz w:val="20"/>
          <w:szCs w:val="20"/>
        </w:rPr>
        <w:t>wards</w:t>
      </w:r>
      <w:r w:rsidR="00FE75B3" w:rsidRPr="00255933">
        <w:rPr>
          <w:rFonts w:ascii="Times New Roman" w:hAnsi="Times New Roman" w:cs="Times New Roman"/>
          <w:sz w:val="20"/>
          <w:szCs w:val="20"/>
        </w:rPr>
        <w:t xml:space="preserve"> </w:t>
      </w:r>
      <w:r w:rsidR="0064038A" w:rsidRPr="00255933">
        <w:rPr>
          <w:rFonts w:ascii="Times New Roman" w:hAnsi="Times New Roman" w:cs="Times New Roman"/>
          <w:sz w:val="20"/>
          <w:szCs w:val="20"/>
        </w:rPr>
        <w:t>perovskite</w:t>
      </w:r>
      <w:r w:rsidR="00090D3C" w:rsidRPr="00255933">
        <w:rPr>
          <w:rFonts w:ascii="Times New Roman" w:hAnsi="Times New Roman" w:cs="Times New Roman"/>
          <w:sz w:val="20"/>
          <w:szCs w:val="20"/>
        </w:rPr>
        <w:t xml:space="preserve"> (ABO</w:t>
      </w:r>
      <w:r w:rsidR="00090D3C" w:rsidRPr="00255933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="00090D3C" w:rsidRPr="00255933">
        <w:rPr>
          <w:rFonts w:ascii="Times New Roman" w:hAnsi="Times New Roman" w:cs="Times New Roman"/>
          <w:sz w:val="20"/>
          <w:szCs w:val="20"/>
        </w:rPr>
        <w:t>) type materials</w:t>
      </w:r>
      <w:r w:rsidR="00256181" w:rsidRPr="00255933">
        <w:rPr>
          <w:rFonts w:ascii="Times New Roman" w:hAnsi="Times New Roman" w:cs="Times New Roman"/>
          <w:sz w:val="20"/>
          <w:szCs w:val="20"/>
        </w:rPr>
        <w:t>, which</w:t>
      </w:r>
      <w:r w:rsidR="00FE75B3" w:rsidRPr="00255933">
        <w:rPr>
          <w:rFonts w:ascii="Times New Roman" w:hAnsi="Times New Roman" w:cs="Times New Roman"/>
          <w:sz w:val="20"/>
          <w:szCs w:val="20"/>
        </w:rPr>
        <w:t xml:space="preserve"> </w:t>
      </w:r>
      <w:r w:rsidR="00090D3C" w:rsidRPr="00255933">
        <w:rPr>
          <w:rFonts w:ascii="Times New Roman" w:hAnsi="Times New Roman" w:cs="Times New Roman"/>
          <w:sz w:val="20"/>
          <w:szCs w:val="20"/>
        </w:rPr>
        <w:t>can</w:t>
      </w:r>
      <w:r w:rsidR="00FE75B3" w:rsidRPr="00255933">
        <w:rPr>
          <w:rFonts w:ascii="Times New Roman" w:hAnsi="Times New Roman" w:cs="Times New Roman"/>
          <w:sz w:val="20"/>
          <w:szCs w:val="20"/>
        </w:rPr>
        <w:t xml:space="preserve"> be </w:t>
      </w:r>
      <w:r w:rsidR="00090D3C" w:rsidRPr="00255933">
        <w:rPr>
          <w:rFonts w:ascii="Times New Roman" w:hAnsi="Times New Roman" w:cs="Times New Roman"/>
          <w:sz w:val="20"/>
          <w:szCs w:val="20"/>
        </w:rPr>
        <w:t xml:space="preserve">tuned for their electronic behavior </w:t>
      </w:r>
      <w:r w:rsidR="0064038A" w:rsidRPr="00255933">
        <w:rPr>
          <w:rFonts w:ascii="Times New Roman" w:hAnsi="Times New Roman" w:cs="Times New Roman"/>
          <w:sz w:val="20"/>
          <w:szCs w:val="20"/>
        </w:rPr>
        <w:t>and thus,</w:t>
      </w:r>
      <w:r w:rsidR="00256181" w:rsidRPr="00255933">
        <w:rPr>
          <w:rFonts w:ascii="Times New Roman" w:hAnsi="Times New Roman" w:cs="Times New Roman"/>
          <w:sz w:val="20"/>
          <w:szCs w:val="20"/>
        </w:rPr>
        <w:t xml:space="preserve"> enhance</w:t>
      </w:r>
      <w:r w:rsidR="0064038A" w:rsidRPr="00255933">
        <w:rPr>
          <w:rFonts w:ascii="Times New Roman" w:hAnsi="Times New Roman" w:cs="Times New Roman"/>
          <w:sz w:val="20"/>
          <w:szCs w:val="20"/>
        </w:rPr>
        <w:t xml:space="preserve"> bifunctional catalytic activity for both oxygen reduction and oxygen evolution reactions</w:t>
      </w:r>
      <w:r w:rsidR="00256181" w:rsidRPr="00255933">
        <w:rPr>
          <w:rFonts w:ascii="Times New Roman" w:hAnsi="Times New Roman" w:cs="Times New Roman"/>
          <w:sz w:val="20"/>
          <w:szCs w:val="20"/>
        </w:rPr>
        <w:t xml:space="preserve"> </w:t>
      </w:r>
      <w:r w:rsidR="0064038A" w:rsidRPr="00255933">
        <w:rPr>
          <w:rFonts w:ascii="Times New Roman" w:hAnsi="Times New Roman" w:cs="Times New Roman"/>
          <w:sz w:val="20"/>
          <w:szCs w:val="20"/>
        </w:rPr>
        <w:t>through</w:t>
      </w:r>
      <w:r w:rsidR="00090D3C" w:rsidRPr="00255933">
        <w:rPr>
          <w:rFonts w:ascii="Times New Roman" w:hAnsi="Times New Roman" w:cs="Times New Roman"/>
          <w:sz w:val="20"/>
          <w:szCs w:val="20"/>
        </w:rPr>
        <w:t xml:space="preserve"> </w:t>
      </w:r>
      <w:r w:rsidR="0064038A" w:rsidRPr="00255933">
        <w:rPr>
          <w:rFonts w:ascii="Times New Roman" w:hAnsi="Times New Roman" w:cs="Times New Roman"/>
          <w:sz w:val="20"/>
          <w:szCs w:val="20"/>
        </w:rPr>
        <w:t>partial</w:t>
      </w:r>
      <w:r w:rsidR="00090D3C" w:rsidRPr="00255933">
        <w:rPr>
          <w:rFonts w:ascii="Times New Roman" w:hAnsi="Times New Roman" w:cs="Times New Roman"/>
          <w:sz w:val="20"/>
          <w:szCs w:val="20"/>
        </w:rPr>
        <w:t xml:space="preserve"> substitut</w:t>
      </w:r>
      <w:r w:rsidR="0064038A" w:rsidRPr="00255933">
        <w:rPr>
          <w:rFonts w:ascii="Times New Roman" w:hAnsi="Times New Roman" w:cs="Times New Roman"/>
          <w:sz w:val="20"/>
          <w:szCs w:val="20"/>
        </w:rPr>
        <w:t xml:space="preserve">ion </w:t>
      </w:r>
      <w:r w:rsidR="00256181" w:rsidRPr="00255933">
        <w:rPr>
          <w:rFonts w:ascii="Times New Roman" w:hAnsi="Times New Roman" w:cs="Times New Roman"/>
          <w:sz w:val="20"/>
          <w:szCs w:val="20"/>
        </w:rPr>
        <w:t>of</w:t>
      </w:r>
      <w:r w:rsidR="00090D3C" w:rsidRPr="00255933">
        <w:rPr>
          <w:rFonts w:ascii="Times New Roman" w:hAnsi="Times New Roman" w:cs="Times New Roman"/>
          <w:sz w:val="20"/>
          <w:szCs w:val="20"/>
        </w:rPr>
        <w:t xml:space="preserve"> A and</w:t>
      </w:r>
      <w:r w:rsidR="00373E27">
        <w:rPr>
          <w:rFonts w:ascii="Times New Roman" w:hAnsi="Times New Roman" w:cs="Times New Roman"/>
          <w:sz w:val="20"/>
          <w:szCs w:val="20"/>
        </w:rPr>
        <w:t>/or</w:t>
      </w:r>
      <w:r w:rsidR="00090D3C" w:rsidRPr="00255933">
        <w:rPr>
          <w:rFonts w:ascii="Times New Roman" w:hAnsi="Times New Roman" w:cs="Times New Roman"/>
          <w:sz w:val="20"/>
          <w:szCs w:val="20"/>
        </w:rPr>
        <w:t xml:space="preserve"> B sites</w:t>
      </w:r>
      <w:r w:rsidR="000B63D2">
        <w:rPr>
          <w:rFonts w:ascii="Times New Roman" w:hAnsi="Times New Roman" w:cs="Times New Roman"/>
          <w:sz w:val="20"/>
          <w:szCs w:val="20"/>
        </w:rPr>
        <w:t>.</w:t>
      </w:r>
      <w:r w:rsidR="00A617EA" w:rsidRPr="007C2C1E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="00256181" w:rsidRPr="00255933">
        <w:rPr>
          <w:rFonts w:ascii="Times New Roman" w:hAnsi="Times New Roman" w:cs="Times New Roman"/>
          <w:sz w:val="20"/>
          <w:szCs w:val="20"/>
        </w:rPr>
        <w:t xml:space="preserve"> H</w:t>
      </w:r>
      <w:r w:rsidRPr="00255933">
        <w:rPr>
          <w:rFonts w:ascii="Times New Roman" w:hAnsi="Times New Roman" w:cs="Times New Roman"/>
          <w:sz w:val="20"/>
          <w:szCs w:val="20"/>
        </w:rPr>
        <w:t xml:space="preserve">erein, we report </w:t>
      </w:r>
      <w:r w:rsidR="00820F94" w:rsidRPr="00255933">
        <w:rPr>
          <w:rFonts w:ascii="Times New Roman" w:hAnsi="Times New Roman" w:cs="Times New Roman"/>
          <w:sz w:val="20"/>
          <w:szCs w:val="20"/>
        </w:rPr>
        <w:t>Y/Fe dual-substituted LaNiO</w:t>
      </w:r>
      <w:r w:rsidR="00820F94" w:rsidRPr="00255933">
        <w:rPr>
          <w:rFonts w:ascii="Times New Roman" w:hAnsi="Times New Roman" w:cs="Times New Roman"/>
          <w:sz w:val="20"/>
          <w:szCs w:val="20"/>
          <w:vertAlign w:val="subscript"/>
        </w:rPr>
        <w:t xml:space="preserve">3 </w:t>
      </w:r>
      <w:r w:rsidR="00820F94" w:rsidRPr="00255933">
        <w:rPr>
          <w:rFonts w:ascii="Times New Roman" w:hAnsi="Times New Roman" w:cs="Times New Roman"/>
          <w:sz w:val="20"/>
          <w:szCs w:val="20"/>
        </w:rPr>
        <w:t>(LYNF) as a bifunctional electrocatalyst for the rechargeable zinc-air battery</w:t>
      </w:r>
      <w:r w:rsidR="00783F11" w:rsidRPr="00255933">
        <w:rPr>
          <w:rFonts w:ascii="Times New Roman" w:hAnsi="Times New Roman" w:cs="Times New Roman"/>
          <w:sz w:val="20"/>
          <w:szCs w:val="20"/>
        </w:rPr>
        <w:t xml:space="preserve">. </w:t>
      </w:r>
      <w:r w:rsidR="00820F94" w:rsidRPr="00255933">
        <w:rPr>
          <w:rFonts w:ascii="Times New Roman" w:hAnsi="Times New Roman" w:cs="Times New Roman"/>
          <w:sz w:val="20"/>
          <w:szCs w:val="20"/>
        </w:rPr>
        <w:t>The electrochemical analysis reveal</w:t>
      </w:r>
      <w:r w:rsidR="00F07A1F">
        <w:rPr>
          <w:rFonts w:ascii="Times New Roman" w:hAnsi="Times New Roman" w:cs="Times New Roman"/>
          <w:sz w:val="20"/>
          <w:szCs w:val="20"/>
        </w:rPr>
        <w:t>ed</w:t>
      </w:r>
      <w:r w:rsidR="00820F94" w:rsidRPr="00255933">
        <w:rPr>
          <w:rFonts w:ascii="Times New Roman" w:hAnsi="Times New Roman" w:cs="Times New Roman"/>
          <w:sz w:val="20"/>
          <w:szCs w:val="20"/>
        </w:rPr>
        <w:t xml:space="preserve"> </w:t>
      </w:r>
      <w:r w:rsidR="004F33E3" w:rsidRPr="00255933">
        <w:rPr>
          <w:rFonts w:ascii="Times New Roman" w:hAnsi="Times New Roman" w:cs="Times New Roman"/>
          <w:sz w:val="20"/>
          <w:szCs w:val="20"/>
        </w:rPr>
        <w:t xml:space="preserve">that </w:t>
      </w:r>
      <w:r w:rsidR="00783F11" w:rsidRPr="00255933">
        <w:rPr>
          <w:rFonts w:ascii="Times New Roman" w:hAnsi="Times New Roman" w:cs="Times New Roman"/>
          <w:sz w:val="20"/>
          <w:szCs w:val="20"/>
        </w:rPr>
        <w:t xml:space="preserve">LYNF exhibits a </w:t>
      </w:r>
      <w:r w:rsidR="002B5486">
        <w:rPr>
          <w:rFonts w:ascii="Times New Roman" w:hAnsi="Times New Roman" w:cs="Times New Roman"/>
          <w:sz w:val="20"/>
          <w:szCs w:val="20"/>
        </w:rPr>
        <w:t xml:space="preserve">relatively </w:t>
      </w:r>
      <w:r w:rsidR="00783F11" w:rsidRPr="00255933">
        <w:rPr>
          <w:rFonts w:ascii="Times New Roman" w:hAnsi="Times New Roman" w:cs="Times New Roman"/>
          <w:sz w:val="20"/>
          <w:szCs w:val="20"/>
        </w:rPr>
        <w:t>high discharge capacity of 10477 mAh g</w:t>
      </w:r>
      <w:r w:rsidR="00A617EA">
        <w:rPr>
          <w:rFonts w:ascii="Times New Roman" w:hAnsi="Times New Roman" w:cs="Times New Roman"/>
          <w:sz w:val="20"/>
          <w:szCs w:val="20"/>
          <w:vertAlign w:val="superscript"/>
        </w:rPr>
        <w:t>-</w:t>
      </w:r>
      <w:r w:rsidR="00783F11" w:rsidRPr="0025593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4F33E3" w:rsidRPr="00255933">
        <w:rPr>
          <w:rFonts w:ascii="Times New Roman" w:hAnsi="Times New Roman" w:cs="Times New Roman"/>
          <w:sz w:val="20"/>
          <w:szCs w:val="20"/>
        </w:rPr>
        <w:t>,</w:t>
      </w:r>
      <w:r w:rsidR="00783F11" w:rsidRPr="00255933">
        <w:rPr>
          <w:rFonts w:ascii="Times New Roman" w:hAnsi="Times New Roman" w:cs="Times New Roman"/>
          <w:sz w:val="20"/>
          <w:szCs w:val="20"/>
        </w:rPr>
        <w:t xml:space="preserve"> stable charge</w:t>
      </w:r>
      <w:r w:rsidR="004F33E3" w:rsidRPr="00255933">
        <w:rPr>
          <w:rFonts w:ascii="Times New Roman" w:hAnsi="Times New Roman" w:cs="Times New Roman"/>
          <w:sz w:val="20"/>
          <w:szCs w:val="20"/>
        </w:rPr>
        <w:t>-</w:t>
      </w:r>
      <w:r w:rsidR="00783F11" w:rsidRPr="00255933">
        <w:rPr>
          <w:rFonts w:ascii="Times New Roman" w:hAnsi="Times New Roman" w:cs="Times New Roman"/>
          <w:sz w:val="20"/>
          <w:szCs w:val="20"/>
        </w:rPr>
        <w:t>discharge cycling over 100 cycles</w:t>
      </w:r>
      <w:r w:rsidR="004F33E3" w:rsidRPr="00255933">
        <w:rPr>
          <w:rFonts w:ascii="Times New Roman" w:hAnsi="Times New Roman" w:cs="Times New Roman"/>
          <w:sz w:val="20"/>
          <w:szCs w:val="20"/>
        </w:rPr>
        <w:t xml:space="preserve">, demonstrating its </w:t>
      </w:r>
      <w:r w:rsidR="008C781C" w:rsidRPr="00255933">
        <w:rPr>
          <w:rFonts w:ascii="Times New Roman" w:hAnsi="Times New Roman" w:cs="Times New Roman"/>
          <w:sz w:val="20"/>
          <w:szCs w:val="20"/>
        </w:rPr>
        <w:t>bifunctional activity and reversibility in alkaline electrolyte</w:t>
      </w:r>
      <w:r w:rsidR="000B63D2">
        <w:rPr>
          <w:rFonts w:ascii="Times New Roman" w:hAnsi="Times New Roman" w:cs="Times New Roman"/>
          <w:sz w:val="20"/>
          <w:szCs w:val="20"/>
        </w:rPr>
        <w:t>.</w:t>
      </w:r>
      <w:r w:rsidR="00A617EA" w:rsidRPr="007C2C1E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B969D8" w:rsidRPr="00255933">
        <w:rPr>
          <w:rFonts w:ascii="Times New Roman" w:hAnsi="Times New Roman" w:cs="Times New Roman"/>
          <w:sz w:val="20"/>
          <w:szCs w:val="20"/>
        </w:rPr>
        <w:t xml:space="preserve"> The</w:t>
      </w:r>
      <w:r w:rsidR="008C781C" w:rsidRPr="00255933">
        <w:rPr>
          <w:rFonts w:ascii="Times New Roman" w:hAnsi="Times New Roman" w:cs="Times New Roman"/>
          <w:sz w:val="20"/>
          <w:szCs w:val="20"/>
        </w:rPr>
        <w:t xml:space="preserve"> </w:t>
      </w:r>
      <w:r w:rsidR="00B969D8" w:rsidRPr="00255933">
        <w:rPr>
          <w:rFonts w:ascii="Times New Roman" w:hAnsi="Times New Roman" w:cs="Times New Roman"/>
          <w:i/>
          <w:iCs/>
          <w:sz w:val="20"/>
          <w:szCs w:val="20"/>
        </w:rPr>
        <w:t>i</w:t>
      </w:r>
      <w:r w:rsidR="008C781C" w:rsidRPr="00255933">
        <w:rPr>
          <w:rFonts w:ascii="Times New Roman" w:hAnsi="Times New Roman" w:cs="Times New Roman"/>
          <w:i/>
          <w:iCs/>
          <w:sz w:val="20"/>
          <w:szCs w:val="20"/>
        </w:rPr>
        <w:t>n-situ</w:t>
      </w:r>
      <w:r w:rsidR="008C781C" w:rsidRPr="00255933">
        <w:rPr>
          <w:rFonts w:ascii="Times New Roman" w:hAnsi="Times New Roman" w:cs="Times New Roman"/>
          <w:sz w:val="20"/>
          <w:szCs w:val="20"/>
        </w:rPr>
        <w:t xml:space="preserve"> Raman spectroscopy</w:t>
      </w:r>
      <w:r w:rsidR="003E601E">
        <w:rPr>
          <w:rFonts w:ascii="Times New Roman" w:hAnsi="Times New Roman" w:cs="Times New Roman"/>
          <w:sz w:val="20"/>
          <w:szCs w:val="20"/>
        </w:rPr>
        <w:t xml:space="preserve"> employed for understanding battery operation</w:t>
      </w:r>
      <w:r w:rsidR="00A617EA" w:rsidRPr="007C2C1E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0B63D2">
        <w:rPr>
          <w:rFonts w:ascii="Times New Roman" w:hAnsi="Times New Roman" w:cs="Times New Roman"/>
          <w:sz w:val="20"/>
          <w:szCs w:val="20"/>
        </w:rPr>
        <w:t xml:space="preserve"> </w:t>
      </w:r>
      <w:r w:rsidR="00B969D8" w:rsidRPr="00255933">
        <w:rPr>
          <w:rFonts w:ascii="Times New Roman" w:hAnsi="Times New Roman" w:cs="Times New Roman"/>
          <w:sz w:val="20"/>
          <w:szCs w:val="20"/>
        </w:rPr>
        <w:t>reveal</w:t>
      </w:r>
      <w:r w:rsidR="00A9010D">
        <w:rPr>
          <w:rFonts w:ascii="Times New Roman" w:hAnsi="Times New Roman" w:cs="Times New Roman"/>
          <w:sz w:val="20"/>
          <w:szCs w:val="20"/>
        </w:rPr>
        <w:t>ed</w:t>
      </w:r>
      <w:r w:rsidRPr="00255933">
        <w:rPr>
          <w:rFonts w:ascii="Times New Roman" w:hAnsi="Times New Roman" w:cs="Times New Roman"/>
          <w:sz w:val="20"/>
          <w:szCs w:val="20"/>
        </w:rPr>
        <w:t xml:space="preserve"> the reversible formation of superoxide intermediates during battery cycling, </w:t>
      </w:r>
      <w:r w:rsidR="00A9010D" w:rsidRPr="00A9010D">
        <w:rPr>
          <w:rFonts w:ascii="Times New Roman" w:hAnsi="Times New Roman" w:cs="Times New Roman"/>
          <w:sz w:val="20"/>
          <w:szCs w:val="20"/>
        </w:rPr>
        <w:t>suggesting that the oxygen vacancies serve as the primary active cent</w:t>
      </w:r>
      <w:r w:rsidR="00CB21BF">
        <w:rPr>
          <w:rFonts w:ascii="Times New Roman" w:hAnsi="Times New Roman" w:cs="Times New Roman"/>
          <w:sz w:val="20"/>
          <w:szCs w:val="20"/>
        </w:rPr>
        <w:t>ers</w:t>
      </w:r>
      <w:r w:rsidR="00A9010D" w:rsidRPr="00A9010D">
        <w:rPr>
          <w:rFonts w:ascii="Times New Roman" w:hAnsi="Times New Roman" w:cs="Times New Roman"/>
          <w:sz w:val="20"/>
          <w:szCs w:val="20"/>
        </w:rPr>
        <w:t xml:space="preserve"> in the double-perovskite. </w:t>
      </w:r>
      <w:r w:rsidR="00F07A1F">
        <w:rPr>
          <w:rFonts w:ascii="Times New Roman" w:hAnsi="Times New Roman" w:cs="Times New Roman"/>
          <w:sz w:val="20"/>
          <w:szCs w:val="20"/>
        </w:rPr>
        <w:t xml:space="preserve">The LYNF system </w:t>
      </w:r>
      <w:r w:rsidR="00F07A1F" w:rsidRPr="00F07A1F">
        <w:rPr>
          <w:rFonts w:ascii="Times New Roman" w:hAnsi="Times New Roman" w:cs="Times New Roman"/>
          <w:sz w:val="20"/>
          <w:szCs w:val="20"/>
        </w:rPr>
        <w:t>follow</w:t>
      </w:r>
      <w:r w:rsidR="00F07A1F">
        <w:rPr>
          <w:rFonts w:ascii="Times New Roman" w:hAnsi="Times New Roman" w:cs="Times New Roman"/>
          <w:sz w:val="20"/>
          <w:szCs w:val="20"/>
        </w:rPr>
        <w:t>s</w:t>
      </w:r>
      <w:r w:rsidR="00F07A1F" w:rsidRPr="00F07A1F">
        <w:rPr>
          <w:rFonts w:ascii="Times New Roman" w:hAnsi="Times New Roman" w:cs="Times New Roman"/>
          <w:sz w:val="20"/>
          <w:szCs w:val="20"/>
        </w:rPr>
        <w:t xml:space="preserve"> a</w:t>
      </w:r>
      <w:r w:rsidR="00F07A1F">
        <w:rPr>
          <w:rFonts w:ascii="Times New Roman" w:hAnsi="Times New Roman" w:cs="Times New Roman"/>
          <w:sz w:val="20"/>
          <w:szCs w:val="20"/>
        </w:rPr>
        <w:t>n</w:t>
      </w:r>
      <w:r w:rsidR="00F07A1F" w:rsidRPr="00F07A1F">
        <w:rPr>
          <w:rFonts w:ascii="Times New Roman" w:hAnsi="Times New Roman" w:cs="Times New Roman"/>
          <w:sz w:val="20"/>
          <w:szCs w:val="20"/>
        </w:rPr>
        <w:t xml:space="preserve"> </w:t>
      </w:r>
      <w:r w:rsidR="00F07A1F" w:rsidRPr="00255933">
        <w:rPr>
          <w:rFonts w:ascii="Times New Roman" w:hAnsi="Times New Roman" w:cs="Times New Roman"/>
          <w:sz w:val="20"/>
          <w:szCs w:val="20"/>
        </w:rPr>
        <w:t xml:space="preserve">oxygen-vacancy-assisted </w:t>
      </w:r>
      <w:r w:rsidR="00F07A1F" w:rsidRPr="00F07A1F">
        <w:rPr>
          <w:rFonts w:ascii="Times New Roman" w:hAnsi="Times New Roman" w:cs="Times New Roman"/>
          <w:sz w:val="20"/>
          <w:szCs w:val="20"/>
        </w:rPr>
        <w:t xml:space="preserve">bidentate pathway for the discharge phase and the corresponding lattice oxygen mechanism (LOM) for the charge phase, during </w:t>
      </w:r>
      <w:r w:rsidR="00F07A1F">
        <w:rPr>
          <w:rFonts w:ascii="Times New Roman" w:hAnsi="Times New Roman" w:cs="Times New Roman"/>
          <w:sz w:val="20"/>
          <w:szCs w:val="20"/>
        </w:rPr>
        <w:t>battery</w:t>
      </w:r>
      <w:r w:rsidR="00F07A1F" w:rsidRPr="00F07A1F">
        <w:rPr>
          <w:rFonts w:ascii="Times New Roman" w:hAnsi="Times New Roman" w:cs="Times New Roman"/>
          <w:sz w:val="20"/>
          <w:szCs w:val="20"/>
        </w:rPr>
        <w:t xml:space="preserve"> operation</w:t>
      </w:r>
      <w:r w:rsidRPr="00255933">
        <w:rPr>
          <w:rFonts w:ascii="Times New Roman" w:hAnsi="Times New Roman" w:cs="Times New Roman"/>
          <w:sz w:val="20"/>
          <w:szCs w:val="20"/>
        </w:rPr>
        <w:t>.</w:t>
      </w:r>
      <w:r w:rsidR="002A3FAC" w:rsidRPr="00255933">
        <w:rPr>
          <w:rFonts w:ascii="Times New Roman" w:hAnsi="Times New Roman" w:cs="Times New Roman"/>
          <w:sz w:val="20"/>
          <w:szCs w:val="20"/>
        </w:rPr>
        <w:t xml:space="preserve"> Furthermore, density functional theory has been employed </w:t>
      </w:r>
      <w:r w:rsidR="00DA7A89" w:rsidRPr="00255933">
        <w:rPr>
          <w:rFonts w:ascii="Times New Roman" w:hAnsi="Times New Roman" w:cs="Times New Roman"/>
          <w:sz w:val="20"/>
          <w:szCs w:val="20"/>
        </w:rPr>
        <w:t xml:space="preserve">in terms of density of states and projected density of states </w:t>
      </w:r>
      <w:r w:rsidR="002A3FAC" w:rsidRPr="00255933">
        <w:rPr>
          <w:rFonts w:ascii="Times New Roman" w:hAnsi="Times New Roman" w:cs="Times New Roman"/>
          <w:sz w:val="20"/>
          <w:szCs w:val="20"/>
        </w:rPr>
        <w:t xml:space="preserve">to </w:t>
      </w:r>
      <w:r w:rsidRPr="00255933">
        <w:rPr>
          <w:rFonts w:ascii="Times New Roman" w:hAnsi="Times New Roman" w:cs="Times New Roman"/>
          <w:sz w:val="20"/>
          <w:szCs w:val="20"/>
        </w:rPr>
        <w:t>demonstrate that Y/Fe substitution shifts the electronic states closer to the Fermi level and enhances metal</w:t>
      </w:r>
      <w:r w:rsidR="00A617EA">
        <w:rPr>
          <w:rFonts w:ascii="Times New Roman" w:hAnsi="Times New Roman" w:cs="Times New Roman"/>
          <w:sz w:val="20"/>
          <w:szCs w:val="20"/>
        </w:rPr>
        <w:t>-</w:t>
      </w:r>
      <w:r w:rsidRPr="00255933">
        <w:rPr>
          <w:rFonts w:ascii="Times New Roman" w:hAnsi="Times New Roman" w:cs="Times New Roman"/>
          <w:sz w:val="20"/>
          <w:szCs w:val="20"/>
        </w:rPr>
        <w:t xml:space="preserve">oxygen covalency, </w:t>
      </w:r>
      <w:r w:rsidR="002A3FAC" w:rsidRPr="00255933">
        <w:rPr>
          <w:rFonts w:ascii="Times New Roman" w:hAnsi="Times New Roman" w:cs="Times New Roman"/>
          <w:sz w:val="20"/>
          <w:szCs w:val="20"/>
        </w:rPr>
        <w:t>which</w:t>
      </w:r>
      <w:r w:rsidRPr="00255933">
        <w:rPr>
          <w:rFonts w:ascii="Times New Roman" w:hAnsi="Times New Roman" w:cs="Times New Roman"/>
          <w:sz w:val="20"/>
          <w:szCs w:val="20"/>
        </w:rPr>
        <w:t xml:space="preserve"> </w:t>
      </w:r>
      <w:r w:rsidR="002A3FAC" w:rsidRPr="00255933">
        <w:rPr>
          <w:rFonts w:ascii="Times New Roman" w:hAnsi="Times New Roman" w:cs="Times New Roman"/>
          <w:sz w:val="20"/>
          <w:szCs w:val="20"/>
        </w:rPr>
        <w:t>facilitates</w:t>
      </w:r>
      <w:r w:rsidRPr="00255933">
        <w:rPr>
          <w:rFonts w:ascii="Times New Roman" w:hAnsi="Times New Roman" w:cs="Times New Roman"/>
          <w:sz w:val="20"/>
          <w:szCs w:val="20"/>
        </w:rPr>
        <w:t xml:space="preserve"> charge transfer</w:t>
      </w:r>
      <w:r w:rsidR="00644F25">
        <w:rPr>
          <w:rFonts w:ascii="Times New Roman" w:hAnsi="Times New Roman" w:cs="Times New Roman"/>
          <w:sz w:val="20"/>
          <w:szCs w:val="20"/>
        </w:rPr>
        <w:t xml:space="preserve"> compared to pristine</w:t>
      </w:r>
      <w:r w:rsidRPr="00255933">
        <w:rPr>
          <w:rFonts w:ascii="Times New Roman" w:hAnsi="Times New Roman" w:cs="Times New Roman"/>
          <w:sz w:val="20"/>
          <w:szCs w:val="20"/>
        </w:rPr>
        <w:t xml:space="preserve"> </w:t>
      </w:r>
      <w:r w:rsidR="005D19C8">
        <w:rPr>
          <w:rFonts w:ascii="Times New Roman" w:hAnsi="Times New Roman" w:cs="Times New Roman"/>
          <w:sz w:val="20"/>
          <w:szCs w:val="20"/>
        </w:rPr>
        <w:t>LaNiO</w:t>
      </w:r>
      <w:r w:rsidR="005D19C8" w:rsidRPr="005D19C8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="005D19C8">
        <w:rPr>
          <w:rFonts w:ascii="Times New Roman" w:hAnsi="Times New Roman" w:cs="Times New Roman"/>
          <w:sz w:val="20"/>
          <w:szCs w:val="20"/>
        </w:rPr>
        <w:t xml:space="preserve"> </w:t>
      </w:r>
      <w:r w:rsidRPr="00255933">
        <w:rPr>
          <w:rFonts w:ascii="Times New Roman" w:hAnsi="Times New Roman" w:cs="Times New Roman"/>
          <w:sz w:val="20"/>
          <w:szCs w:val="20"/>
        </w:rPr>
        <w:t xml:space="preserve">and </w:t>
      </w:r>
      <w:r w:rsidR="002A3FAC" w:rsidRPr="00255933">
        <w:rPr>
          <w:rFonts w:ascii="Times New Roman" w:hAnsi="Times New Roman" w:cs="Times New Roman"/>
          <w:sz w:val="20"/>
          <w:szCs w:val="20"/>
        </w:rPr>
        <w:t xml:space="preserve">thus, </w:t>
      </w:r>
      <w:r w:rsidR="005D6972" w:rsidRPr="00255933">
        <w:rPr>
          <w:rFonts w:ascii="Times New Roman" w:hAnsi="Times New Roman" w:cs="Times New Roman"/>
          <w:sz w:val="20"/>
          <w:szCs w:val="20"/>
        </w:rPr>
        <w:t xml:space="preserve">enhances </w:t>
      </w:r>
      <w:r w:rsidR="00C03256">
        <w:rPr>
          <w:rFonts w:ascii="Times New Roman" w:hAnsi="Times New Roman" w:cs="Times New Roman"/>
          <w:sz w:val="20"/>
          <w:szCs w:val="20"/>
        </w:rPr>
        <w:t xml:space="preserve">the </w:t>
      </w:r>
      <w:r w:rsidR="005D6972" w:rsidRPr="00255933">
        <w:rPr>
          <w:rFonts w:ascii="Times New Roman" w:hAnsi="Times New Roman" w:cs="Times New Roman"/>
          <w:sz w:val="20"/>
          <w:szCs w:val="20"/>
        </w:rPr>
        <w:t>catalytic activity of the LYNF</w:t>
      </w:r>
      <w:r w:rsidR="002A3FAC" w:rsidRPr="00255933">
        <w:rPr>
          <w:rFonts w:ascii="Times New Roman" w:hAnsi="Times New Roman" w:cs="Times New Roman"/>
          <w:sz w:val="20"/>
          <w:szCs w:val="20"/>
        </w:rPr>
        <w:t xml:space="preserve">. </w:t>
      </w:r>
      <w:r w:rsidR="00F07A1F">
        <w:rPr>
          <w:rFonts w:ascii="Times New Roman" w:hAnsi="Times New Roman" w:cs="Times New Roman"/>
          <w:sz w:val="20"/>
          <w:szCs w:val="20"/>
        </w:rPr>
        <w:t>T</w:t>
      </w:r>
      <w:r w:rsidR="002A3FAC" w:rsidRPr="00255933">
        <w:rPr>
          <w:rFonts w:ascii="Times New Roman" w:hAnsi="Times New Roman" w:cs="Times New Roman"/>
          <w:sz w:val="20"/>
          <w:szCs w:val="20"/>
        </w:rPr>
        <w:t xml:space="preserve">his work </w:t>
      </w:r>
      <w:r w:rsidRPr="00255933">
        <w:rPr>
          <w:rFonts w:ascii="Times New Roman" w:hAnsi="Times New Roman" w:cs="Times New Roman"/>
          <w:sz w:val="20"/>
          <w:szCs w:val="20"/>
        </w:rPr>
        <w:t xml:space="preserve">provides </w:t>
      </w:r>
      <w:r w:rsidR="005D6972" w:rsidRPr="00255933">
        <w:rPr>
          <w:rFonts w:ascii="Times New Roman" w:hAnsi="Times New Roman" w:cs="Times New Roman"/>
          <w:sz w:val="20"/>
          <w:szCs w:val="20"/>
        </w:rPr>
        <w:t>insight into the development of the next</w:t>
      </w:r>
      <w:r w:rsidR="00D662BB">
        <w:rPr>
          <w:rFonts w:ascii="Times New Roman" w:hAnsi="Times New Roman" w:cs="Times New Roman"/>
          <w:sz w:val="20"/>
          <w:szCs w:val="20"/>
        </w:rPr>
        <w:t>-</w:t>
      </w:r>
      <w:r w:rsidR="005D6972" w:rsidRPr="00255933">
        <w:rPr>
          <w:rFonts w:ascii="Times New Roman" w:hAnsi="Times New Roman" w:cs="Times New Roman"/>
          <w:sz w:val="20"/>
          <w:szCs w:val="20"/>
        </w:rPr>
        <w:t>generation reversible zinc-air batteries, via comprehending the underlying mechanism during the battery operation, and opens up new opportunities to explore the perovskites for metal-air battery applications</w:t>
      </w:r>
      <w:r w:rsidRPr="00255933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F6C384B" w14:textId="47DA719D" w:rsidR="00255933" w:rsidRDefault="00255933" w:rsidP="002559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246"/>
      </w:tblGrid>
      <w:tr w:rsidR="00682406" w14:paraId="76D6E3AA" w14:textId="77777777" w:rsidTr="00732709">
        <w:tc>
          <w:tcPr>
            <w:tcW w:w="4248" w:type="dxa"/>
          </w:tcPr>
          <w:p w14:paraId="677471A1" w14:textId="463D5D05" w:rsidR="00682406" w:rsidRDefault="001E4D76" w:rsidP="006824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23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B587571" wp14:editId="69FEA0F2">
                  <wp:extent cx="2497666" cy="2022003"/>
                  <wp:effectExtent l="0" t="0" r="4445" b="0"/>
                  <wp:docPr id="674595304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595304" name="Picture 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/>
                          <a:srcRect l="2120" t="9937" r="127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31" cy="2040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6" w:type="dxa"/>
          </w:tcPr>
          <w:p w14:paraId="79381051" w14:textId="5720CBDC" w:rsidR="00682406" w:rsidRDefault="001E4D76" w:rsidP="002559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0B5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77F4F5FB" wp14:editId="427DA478">
                  <wp:simplePos x="0" y="0"/>
                  <wp:positionH relativeFrom="column">
                    <wp:posOffset>-68157</wp:posOffset>
                  </wp:positionH>
                  <wp:positionV relativeFrom="paragraph">
                    <wp:posOffset>2963</wp:posOffset>
                  </wp:positionV>
                  <wp:extent cx="2480734" cy="2010326"/>
                  <wp:effectExtent l="0" t="0" r="0" b="0"/>
                  <wp:wrapTight wrapText="bothSides">
                    <wp:wrapPolygon edited="0">
                      <wp:start x="2433" y="0"/>
                      <wp:lineTo x="2212" y="955"/>
                      <wp:lineTo x="2544" y="1365"/>
                      <wp:lineTo x="3871" y="2320"/>
                      <wp:lineTo x="2323" y="4231"/>
                      <wp:lineTo x="0" y="4914"/>
                      <wp:lineTo x="0" y="6552"/>
                      <wp:lineTo x="442" y="6688"/>
                      <wp:lineTo x="111" y="8736"/>
                      <wp:lineTo x="111" y="12284"/>
                      <wp:lineTo x="1770" y="13240"/>
                      <wp:lineTo x="3871" y="13240"/>
                      <wp:lineTo x="1880" y="15424"/>
                      <wp:lineTo x="3760" y="17608"/>
                      <wp:lineTo x="3429" y="19109"/>
                      <wp:lineTo x="4313" y="19382"/>
                      <wp:lineTo x="9733" y="20201"/>
                      <wp:lineTo x="9843" y="21293"/>
                      <wp:lineTo x="12055" y="21429"/>
                      <wp:lineTo x="13272" y="21429"/>
                      <wp:lineTo x="15705" y="21293"/>
                      <wp:lineTo x="15594" y="20064"/>
                      <wp:lineTo x="21456" y="19382"/>
                      <wp:lineTo x="21456" y="136"/>
                      <wp:lineTo x="3650" y="0"/>
                      <wp:lineTo x="2433" y="0"/>
                    </wp:wrapPolygon>
                  </wp:wrapTight>
                  <wp:docPr id="990199983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199983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/>
                          <a:srcRect l="15134" t="13348" r="18024" b="95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5501" cy="2014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82406" w14:paraId="0E79BE36" w14:textId="77777777" w:rsidTr="00732709">
        <w:tc>
          <w:tcPr>
            <w:tcW w:w="4248" w:type="dxa"/>
          </w:tcPr>
          <w:p w14:paraId="2CE8F4DC" w14:textId="53D312EC" w:rsidR="00682406" w:rsidRDefault="00682406" w:rsidP="00682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6" w:type="dxa"/>
          </w:tcPr>
          <w:p w14:paraId="00065865" w14:textId="55531BF2" w:rsidR="00682406" w:rsidRDefault="00682406" w:rsidP="00682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2406" w14:paraId="7C9DFFBC" w14:textId="77777777" w:rsidTr="00732709">
        <w:tc>
          <w:tcPr>
            <w:tcW w:w="8494" w:type="dxa"/>
            <w:gridSpan w:val="2"/>
          </w:tcPr>
          <w:p w14:paraId="092C1E95" w14:textId="7B895604" w:rsidR="00682406" w:rsidRPr="00732709" w:rsidRDefault="00682406" w:rsidP="006824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Fig</w:t>
            </w:r>
            <w:r w:rsidR="001E4D76">
              <w:rPr>
                <w:rFonts w:ascii="Times New Roman" w:hAnsi="Times New Roman" w:cs="Times New Roman"/>
                <w:sz w:val="20"/>
                <w:szCs w:val="20"/>
              </w:rPr>
              <w:t>ure.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32709">
              <w:rPr>
                <w:rFonts w:ascii="Times New Roman" w:hAnsi="Times New Roman" w:cs="Times New Roman"/>
                <w:sz w:val="20"/>
                <w:szCs w:val="20"/>
              </w:rPr>
              <w:t xml:space="preserve">DOS, and PDOS </w:t>
            </w:r>
            <w:r w:rsidR="001E4D76">
              <w:rPr>
                <w:rFonts w:ascii="Times New Roman" w:hAnsi="Times New Roman" w:cs="Times New Roman"/>
                <w:sz w:val="20"/>
                <w:szCs w:val="20"/>
              </w:rPr>
              <w:t xml:space="preserve">states for </w:t>
            </w:r>
            <w:r w:rsidR="00732709">
              <w:rPr>
                <w:rFonts w:ascii="Times New Roman" w:hAnsi="Times New Roman" w:cs="Times New Roman"/>
                <w:sz w:val="20"/>
                <w:szCs w:val="20"/>
              </w:rPr>
              <w:t>LYNF-V</w:t>
            </w:r>
            <w:r w:rsidR="00732709" w:rsidRPr="0073270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0</w:t>
            </w:r>
            <w:r w:rsidR="00732709" w:rsidRPr="0073270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E4D76">
              <w:rPr>
                <w:rFonts w:ascii="Times New Roman" w:hAnsi="Times New Roman" w:cs="Times New Roman"/>
                <w:sz w:val="20"/>
                <w:szCs w:val="20"/>
              </w:rPr>
              <w:t xml:space="preserve"> studied as air-electrode in zinc-air battery operating in </w:t>
            </w:r>
            <w:r w:rsidR="000B63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A9010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E4D76">
              <w:rPr>
                <w:rFonts w:ascii="Times New Roman" w:hAnsi="Times New Roman" w:cs="Times New Roman"/>
                <w:sz w:val="20"/>
                <w:szCs w:val="20"/>
              </w:rPr>
              <w:t xml:space="preserve"> mol.dm</w:t>
            </w:r>
            <w:r w:rsidR="001E4D76" w:rsidRPr="001E4D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  <w:r w:rsidR="001E4D76">
              <w:rPr>
                <w:rFonts w:ascii="Times New Roman" w:hAnsi="Times New Roman" w:cs="Times New Roman"/>
                <w:sz w:val="20"/>
                <w:szCs w:val="20"/>
              </w:rPr>
              <w:t xml:space="preserve"> potassium hydroxide</w:t>
            </w:r>
            <w:r w:rsidR="001E4D76">
              <w:t xml:space="preserve"> </w:t>
            </w:r>
            <w:r w:rsidR="001E4D76" w:rsidRPr="001E4D76">
              <w:rPr>
                <w:rFonts w:ascii="Times New Roman" w:hAnsi="Times New Roman" w:cs="Times New Roman"/>
                <w:sz w:val="20"/>
                <w:szCs w:val="20"/>
              </w:rPr>
              <w:t>and 0.2 mol.dm</w:t>
            </w:r>
            <w:r w:rsidR="001E4D76" w:rsidRPr="001E4D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  <w:r w:rsidR="001E4D76" w:rsidRPr="001E4D76">
              <w:rPr>
                <w:rFonts w:ascii="Times New Roman" w:hAnsi="Times New Roman" w:cs="Times New Roman"/>
                <w:sz w:val="20"/>
                <w:szCs w:val="20"/>
              </w:rPr>
              <w:t xml:space="preserve"> Zn(AC)</w:t>
            </w:r>
            <w:r w:rsidR="001E4D76" w:rsidRPr="001E4D7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1E4D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7E90CCF7" w14:textId="77777777" w:rsidR="000B63D2" w:rsidRDefault="000B63D2" w:rsidP="000B63D2">
      <w:pPr>
        <w:pStyle w:val="EndNoteBibliography"/>
        <w:spacing w:after="0"/>
        <w:ind w:left="284" w:hanging="284"/>
        <w:rPr>
          <w:rFonts w:ascii="Times New Roman" w:hAnsi="Times New Roman" w:cs="Times New Roman"/>
          <w:sz w:val="20"/>
          <w:szCs w:val="20"/>
        </w:rPr>
      </w:pPr>
    </w:p>
    <w:p w14:paraId="4EF9D2F8" w14:textId="725B37E3" w:rsidR="000B63D2" w:rsidRDefault="000B63D2" w:rsidP="000B63D2">
      <w:pPr>
        <w:pStyle w:val="EndNoteBibliography"/>
        <w:spacing w:after="0"/>
        <w:ind w:left="284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References:</w:t>
      </w:r>
    </w:p>
    <w:p w14:paraId="6442A466" w14:textId="1474B67A" w:rsidR="00A617EA" w:rsidRPr="00A617EA" w:rsidRDefault="000B63D2" w:rsidP="007C2C1E">
      <w:pPr>
        <w:pStyle w:val="EndNoteBibliography"/>
        <w:spacing w:after="0"/>
        <w:ind w:left="284" w:hanging="284"/>
        <w:rPr>
          <w:rFonts w:ascii="Times New Roman" w:hAnsi="Times New Roman" w:cs="Times New Roman"/>
          <w:sz w:val="20"/>
          <w:szCs w:val="20"/>
        </w:rPr>
      </w:pPr>
      <w:r w:rsidRPr="003E601E">
        <w:rPr>
          <w:rFonts w:ascii="Times New Roman" w:hAnsi="Times New Roman" w:cs="Times New Roman"/>
          <w:sz w:val="20"/>
          <w:szCs w:val="20"/>
        </w:rPr>
        <w:fldChar w:fldCharType="begin"/>
      </w:r>
      <w:r w:rsidRPr="003E601E">
        <w:rPr>
          <w:rFonts w:ascii="Times New Roman" w:hAnsi="Times New Roman" w:cs="Times New Roman"/>
          <w:sz w:val="20"/>
          <w:szCs w:val="20"/>
        </w:rPr>
        <w:instrText xml:space="preserve"> ADDIN EN.REFLIST </w:instrText>
      </w:r>
      <w:r w:rsidRPr="003E601E">
        <w:rPr>
          <w:rFonts w:ascii="Times New Roman" w:hAnsi="Times New Roman" w:cs="Times New Roman"/>
          <w:sz w:val="20"/>
          <w:szCs w:val="20"/>
        </w:rPr>
        <w:fldChar w:fldCharType="separate"/>
      </w:r>
      <w:r w:rsidRPr="003E601E">
        <w:rPr>
          <w:rFonts w:ascii="Times New Roman" w:hAnsi="Times New Roman" w:cs="Times New Roman"/>
          <w:sz w:val="20"/>
          <w:szCs w:val="20"/>
        </w:rPr>
        <w:fldChar w:fldCharType="end"/>
      </w:r>
      <w:r w:rsidR="00A617EA" w:rsidRPr="00A617EA">
        <w:rPr>
          <w:rFonts w:ascii="Times New Roman" w:hAnsi="Times New Roman" w:cs="Times New Roman"/>
          <w:sz w:val="20"/>
          <w:szCs w:val="20"/>
        </w:rPr>
        <w:t>[1] S. Sajeev, M. Vincent, P. Garbacz, M. Strawski, C. Zhu, Y. Aoki, D. Kowalski, RSC Applied Interfaces, 2 (2025) 1051-1058.</w:t>
      </w:r>
    </w:p>
    <w:p w14:paraId="6BA9C787" w14:textId="77777777" w:rsidR="00A617EA" w:rsidRPr="00A617EA" w:rsidRDefault="00A617EA" w:rsidP="007C2C1E">
      <w:pPr>
        <w:pStyle w:val="EndNoteBibliography"/>
        <w:spacing w:after="0"/>
        <w:ind w:left="284" w:hanging="284"/>
        <w:rPr>
          <w:rFonts w:ascii="Times New Roman" w:hAnsi="Times New Roman" w:cs="Times New Roman"/>
          <w:sz w:val="20"/>
          <w:szCs w:val="20"/>
        </w:rPr>
      </w:pPr>
      <w:r w:rsidRPr="00A617EA">
        <w:rPr>
          <w:rFonts w:ascii="Times New Roman" w:hAnsi="Times New Roman" w:cs="Times New Roman"/>
          <w:sz w:val="20"/>
          <w:szCs w:val="20"/>
        </w:rPr>
        <w:t>[2] Y. Aoki, K. Takase, H. Kiuchi, D. Kowalski, Y. Sato, H. Toriumi, S. Kitano, H. Habazaki, JACS, 143 (2021) 6505-6515.</w:t>
      </w:r>
    </w:p>
    <w:p w14:paraId="6B586427" w14:textId="5B3342AA" w:rsidR="00A617EA" w:rsidRPr="00A617EA" w:rsidRDefault="00A617EA" w:rsidP="007C2C1E">
      <w:pPr>
        <w:pStyle w:val="EndNoteBibliography"/>
        <w:spacing w:after="0"/>
        <w:ind w:left="284" w:hanging="284"/>
        <w:rPr>
          <w:rFonts w:ascii="Times New Roman" w:hAnsi="Times New Roman" w:cs="Times New Roman"/>
          <w:sz w:val="20"/>
          <w:szCs w:val="20"/>
        </w:rPr>
      </w:pPr>
      <w:r w:rsidRPr="00A617EA">
        <w:rPr>
          <w:rFonts w:ascii="Times New Roman" w:hAnsi="Times New Roman" w:cs="Times New Roman"/>
          <w:sz w:val="20"/>
          <w:szCs w:val="20"/>
        </w:rPr>
        <w:t>[3] M. Srivastava, S. Sajeev, A. Srivastava, W. Kepi</w:t>
      </w:r>
      <w:r w:rsidR="007724B8">
        <w:rPr>
          <w:rFonts w:ascii="Times New Roman" w:hAnsi="Times New Roman" w:cs="Times New Roman"/>
          <w:sz w:val="20"/>
          <w:szCs w:val="20"/>
        </w:rPr>
        <w:t>ns</w:t>
      </w:r>
      <w:r w:rsidRPr="00A617EA">
        <w:rPr>
          <w:rFonts w:ascii="Times New Roman" w:hAnsi="Times New Roman" w:cs="Times New Roman"/>
          <w:sz w:val="20"/>
          <w:szCs w:val="20"/>
        </w:rPr>
        <w:t>ki, D. Kowalski, Electrochim. Acta, 559 (2026) 148472.</w:t>
      </w:r>
    </w:p>
    <w:p w14:paraId="39070B67" w14:textId="77777777" w:rsidR="00A617EA" w:rsidRPr="00A617EA" w:rsidRDefault="00A617EA" w:rsidP="007C2C1E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A617EA">
        <w:rPr>
          <w:rFonts w:ascii="Times New Roman" w:hAnsi="Times New Roman" w:cs="Times New Roman"/>
          <w:sz w:val="20"/>
          <w:szCs w:val="20"/>
        </w:rPr>
        <w:t>[4] M. Vincent, D. Kowalski, ACS Applied Nano Materials, 6 (2023) 6528-6537.</w:t>
      </w:r>
    </w:p>
    <w:p w14:paraId="5942016D" w14:textId="51715D46" w:rsidR="00B433A6" w:rsidRPr="00255933" w:rsidRDefault="00B433A6" w:rsidP="00A617E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433A6" w:rsidRPr="00255933" w:rsidSect="00255933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51A28"/>
    <w:multiLevelType w:val="hybridMultilevel"/>
    <w:tmpl w:val="78D632EC"/>
    <w:lvl w:ilvl="0" w:tplc="4050C0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572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lectrochimica Act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fpfd0zv0evezkese0av05eraa2rps0pz0p0&quot;&gt;DamianEndnoteDec2020-Converted&lt;record-ids&gt;&lt;item&gt;1631&lt;/item&gt;&lt;item&gt;1647&lt;/item&gt;&lt;/record-ids&gt;&lt;/item&gt;&lt;/Libraries&gt;"/>
  </w:docVars>
  <w:rsids>
    <w:rsidRoot w:val="002F4661"/>
    <w:rsid w:val="000022D3"/>
    <w:rsid w:val="00002A7B"/>
    <w:rsid w:val="00037830"/>
    <w:rsid w:val="00060E9D"/>
    <w:rsid w:val="00090D3C"/>
    <w:rsid w:val="000A730F"/>
    <w:rsid w:val="000B63D2"/>
    <w:rsid w:val="001E4D76"/>
    <w:rsid w:val="00255933"/>
    <w:rsid w:val="00256181"/>
    <w:rsid w:val="002A3FAC"/>
    <w:rsid w:val="002B5486"/>
    <w:rsid w:val="002F4661"/>
    <w:rsid w:val="00373E27"/>
    <w:rsid w:val="003E1A54"/>
    <w:rsid w:val="003E601E"/>
    <w:rsid w:val="004450A2"/>
    <w:rsid w:val="0049670A"/>
    <w:rsid w:val="004F33E3"/>
    <w:rsid w:val="005D19C8"/>
    <w:rsid w:val="005D6972"/>
    <w:rsid w:val="00610076"/>
    <w:rsid w:val="0064038A"/>
    <w:rsid w:val="00644F25"/>
    <w:rsid w:val="00682406"/>
    <w:rsid w:val="006B42CA"/>
    <w:rsid w:val="00732709"/>
    <w:rsid w:val="007724B8"/>
    <w:rsid w:val="00777054"/>
    <w:rsid w:val="00783F11"/>
    <w:rsid w:val="007B16D2"/>
    <w:rsid w:val="007C2C1E"/>
    <w:rsid w:val="007D2663"/>
    <w:rsid w:val="00820F94"/>
    <w:rsid w:val="008C781C"/>
    <w:rsid w:val="009D7320"/>
    <w:rsid w:val="00A617EA"/>
    <w:rsid w:val="00A9010D"/>
    <w:rsid w:val="00B433A6"/>
    <w:rsid w:val="00B969D8"/>
    <w:rsid w:val="00C03256"/>
    <w:rsid w:val="00CB21BF"/>
    <w:rsid w:val="00D662BB"/>
    <w:rsid w:val="00DA7A89"/>
    <w:rsid w:val="00E47FB7"/>
    <w:rsid w:val="00EA07B6"/>
    <w:rsid w:val="00EB3F13"/>
    <w:rsid w:val="00F07A1F"/>
    <w:rsid w:val="00F3426F"/>
    <w:rsid w:val="00FE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3C18D"/>
  <w15:chartTrackingRefBased/>
  <w15:docId w15:val="{CB8DF6DA-06BB-40D7-AD30-CAB22F0D0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4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6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6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6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6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6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6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6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66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66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661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661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661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66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661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66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661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2F46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66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6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66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F46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661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2F46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6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6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661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2F466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82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73E27"/>
    <w:pPr>
      <w:spacing w:after="0" w:line="240" w:lineRule="auto"/>
    </w:pPr>
    <w:rPr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373E27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73E27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73E27"/>
    <w:pPr>
      <w:spacing w:line="240" w:lineRule="auto"/>
      <w:jc w:val="both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373E27"/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F2D0A2-E7CA-F648-A5E3-D84EA5574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srivastava</dc:creator>
  <cp:keywords/>
  <dc:description/>
  <cp:lastModifiedBy>monika srivastava</cp:lastModifiedBy>
  <cp:revision>7</cp:revision>
  <dcterms:created xsi:type="dcterms:W3CDTF">2026-05-29T16:43:00Z</dcterms:created>
  <dcterms:modified xsi:type="dcterms:W3CDTF">2026-05-29T18:20:00Z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3dd40659-b976-418c-a647-3913dbcf5474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3bb5faea-90a4-3ac8-9926-471747653b17</vt:lpwstr>
  </property>
  <property fmtid="{D5CDD505-2E9C-101B-9397-08002B2CF9AE}" pid="5" name="Mendeley Citation Style_1">
    <vt:lpwstr>http://www.zotero.org/styles/chemical-communications</vt:lpwstr>
  </property>
  <property fmtid="{D5CDD505-2E9C-101B-9397-08002B2CF9AE}" pid="6" name="Mendeley Recent Style Id 0_1">
    <vt:lpwstr>http://www.zotero.org/styles/american-medical-association</vt:lpwstr>
  </property>
  <property fmtid="{D5CDD505-2E9C-101B-9397-08002B2CF9AE}" pid="7" name="Mendeley Recent Style Name 0_1">
    <vt:lpwstr>American Medical Association 11th edition</vt:lpwstr>
  </property>
  <property fmtid="{D5CDD505-2E9C-101B-9397-08002B2CF9AE}" pid="8" name="Mendeley Recent Style Id 1_1">
    <vt:lpwstr>http://www.zotero.org/styles/american-political-science-association</vt:lpwstr>
  </property>
  <property fmtid="{D5CDD505-2E9C-101B-9397-08002B2CF9AE}" pid="9" name="Mendeley Recent Style Name 1_1">
    <vt:lpwstr>American Political Science Association</vt:lpwstr>
  </property>
  <property fmtid="{D5CDD505-2E9C-101B-9397-08002B2CF9AE}" pid="10" name="Mendeley Recent Style Id 2_1">
    <vt:lpwstr>http://www.zotero.org/styles/applied-surface-science</vt:lpwstr>
  </property>
  <property fmtid="{D5CDD505-2E9C-101B-9397-08002B2CF9AE}" pid="11" name="Mendeley Recent Style Name 2_1">
    <vt:lpwstr>Applied Surface Science</vt:lpwstr>
  </property>
  <property fmtid="{D5CDD505-2E9C-101B-9397-08002B2CF9AE}" pid="12" name="Mendeley Recent Style Id 3_1">
    <vt:lpwstr>http://www.zotero.org/styles/begell-house-apa</vt:lpwstr>
  </property>
  <property fmtid="{D5CDD505-2E9C-101B-9397-08002B2CF9AE}" pid="13" name="Mendeley Recent Style Name 3_1">
    <vt:lpwstr>Begell House - APA</vt:lpwstr>
  </property>
  <property fmtid="{D5CDD505-2E9C-101B-9397-08002B2CF9AE}" pid="14" name="Mendeley Recent Style Id 4_1">
    <vt:lpwstr>http://www.zotero.org/styles/chemical-communications</vt:lpwstr>
  </property>
  <property fmtid="{D5CDD505-2E9C-101B-9397-08002B2CF9AE}" pid="15" name="Mendeley Recent Style Name 4_1">
    <vt:lpwstr>Chemical Communications</vt:lpwstr>
  </property>
  <property fmtid="{D5CDD505-2E9C-101B-9397-08002B2CF9AE}" pid="16" name="Mendeley Recent Style Id 5_1">
    <vt:lpwstr>http://www.zotero.org/styles/citation-compass-apa-note</vt:lpwstr>
  </property>
  <property fmtid="{D5CDD505-2E9C-101B-9397-08002B2CF9AE}" pid="17" name="Mendeley Recent Style Name 5_1">
    <vt:lpwstr>Citation Compass (Kildekompasset) - APA (note)</vt:lpwstr>
  </property>
  <property fmtid="{D5CDD505-2E9C-101B-9397-08002B2CF9AE}" pid="18" name="Mendeley Recent Style Id 6_1">
    <vt:lpwstr>http://www.zotero.org/styles/electrochimica-acta</vt:lpwstr>
  </property>
  <property fmtid="{D5CDD505-2E9C-101B-9397-08002B2CF9AE}" pid="19" name="Mendeley Recent Style Name 6_1">
    <vt:lpwstr>Electrochimica Acta</vt:lpwstr>
  </property>
  <property fmtid="{D5CDD505-2E9C-101B-9397-08002B2CF9AE}" pid="20" name="Mendeley Recent Style Id 7_1">
    <vt:lpwstr>http://www.zotero.org/styles/ieee</vt:lpwstr>
  </property>
  <property fmtid="{D5CDD505-2E9C-101B-9397-08002B2CF9AE}" pid="21" name="Mendeley Recent Style Name 7_1">
    <vt:lpwstr>IEEE</vt:lpwstr>
  </property>
  <property fmtid="{D5CDD505-2E9C-101B-9397-08002B2CF9AE}" pid="22" name="Mendeley Recent Style Id 8_1">
    <vt:lpwstr>http://www.zotero.org/styles/modern-humanities-research-association</vt:lpwstr>
  </property>
  <property fmtid="{D5CDD505-2E9C-101B-9397-08002B2CF9AE}" pid="23" name="Mendeley Recent Style Name 8_1">
    <vt:lpwstr>Modern Humanities Research Association 3rd edition (note with bibliography)</vt:lpwstr>
  </property>
  <property fmtid="{D5CDD505-2E9C-101B-9397-08002B2CF9AE}" pid="24" name="Mendeley Recent Style Id 9_1">
    <vt:lpwstr>http://www.zotero.org/styles/sensors-and-actuators-b-chemical</vt:lpwstr>
  </property>
  <property fmtid="{D5CDD505-2E9C-101B-9397-08002B2CF9AE}" pid="25" name="Mendeley Recent Style Name 9_1">
    <vt:lpwstr>Sensors &amp; Actuators: B. Chemical</vt:lpwstr>
  </property>
</Properties>
</file>