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D38AF3" w14:textId="1EA1A72A" w:rsidR="00325004" w:rsidRPr="00A86EB9" w:rsidRDefault="00D542B7" w:rsidP="00E0716D">
      <w:pPr>
        <w:jc w:val="center"/>
        <w:rPr>
          <w:b/>
          <w:sz w:val="28"/>
        </w:rPr>
      </w:pPr>
      <w:r w:rsidRPr="00D542B7">
        <w:rPr>
          <w:b/>
          <w:sz w:val="28"/>
        </w:rPr>
        <w:t>Ligand geometry gated superoxide access in water</w:t>
      </w:r>
    </w:p>
    <w:p w14:paraId="52867134" w14:textId="675ADB71" w:rsidR="00325004" w:rsidRPr="00D542B7" w:rsidRDefault="00D542B7" w:rsidP="00E0716D">
      <w:pPr>
        <w:jc w:val="center"/>
        <w:rPr>
          <w:lang w:val="en-IN"/>
        </w:rPr>
      </w:pPr>
      <w:r w:rsidRPr="00D542B7">
        <w:rPr>
          <w:u w:val="single"/>
          <w:lang w:val="en-IN"/>
        </w:rPr>
        <w:t>Shifali Dutt</w:t>
      </w:r>
      <w:r w:rsidR="00CA43A5">
        <w:rPr>
          <w:lang w:val="en-IN"/>
        </w:rPr>
        <w:t>, *</w:t>
      </w:r>
      <w:proofErr w:type="spellStart"/>
      <w:r w:rsidRPr="00D542B7">
        <w:rPr>
          <w:lang w:val="en-IN"/>
        </w:rPr>
        <w:t>Musthafa</w:t>
      </w:r>
      <w:proofErr w:type="spellEnd"/>
      <w:r w:rsidRPr="00D542B7">
        <w:rPr>
          <w:lang w:val="en-IN"/>
        </w:rPr>
        <w:t xml:space="preserve"> </w:t>
      </w:r>
      <w:proofErr w:type="spellStart"/>
      <w:r w:rsidRPr="00D542B7">
        <w:rPr>
          <w:lang w:val="en-IN"/>
        </w:rPr>
        <w:t>Ottakam</w:t>
      </w:r>
      <w:proofErr w:type="spellEnd"/>
      <w:r w:rsidRPr="00D542B7">
        <w:rPr>
          <w:lang w:val="en-IN"/>
        </w:rPr>
        <w:t xml:space="preserve"> </w:t>
      </w:r>
      <w:proofErr w:type="spellStart"/>
      <w:r w:rsidRPr="00D542B7">
        <w:rPr>
          <w:lang w:val="en-IN"/>
        </w:rPr>
        <w:t>Thotiyl</w:t>
      </w:r>
      <w:proofErr w:type="spellEnd"/>
    </w:p>
    <w:p w14:paraId="4198277E" w14:textId="71EEC33B" w:rsidR="00D542B7" w:rsidRDefault="00D542B7" w:rsidP="00E0716D">
      <w:pPr>
        <w:jc w:val="center"/>
        <w:rPr>
          <w:i/>
        </w:rPr>
      </w:pPr>
      <w:r w:rsidRPr="00D542B7">
        <w:rPr>
          <w:i/>
          <w:kern w:val="26"/>
          <w:vertAlign w:val="superscript"/>
        </w:rPr>
        <w:t>1</w:t>
      </w:r>
      <w:r w:rsidRPr="00D542B7">
        <w:rPr>
          <w:i/>
          <w:kern w:val="26"/>
        </w:rPr>
        <w:t>Indian Institute of Science Education and Research (IISER) Pune</w:t>
      </w:r>
    </w:p>
    <w:p w14:paraId="037F4EF4" w14:textId="77777777" w:rsidR="00D542B7" w:rsidRDefault="00D542B7" w:rsidP="00D542B7">
      <w:pPr>
        <w:jc w:val="center"/>
        <w:rPr>
          <w:i/>
        </w:rPr>
      </w:pPr>
      <w:r w:rsidRPr="00A86EB9">
        <w:rPr>
          <w:i/>
        </w:rPr>
        <w:t xml:space="preserve"> </w:t>
      </w:r>
      <w:r w:rsidRPr="00D542B7">
        <w:rPr>
          <w:i/>
          <w:kern w:val="26"/>
        </w:rPr>
        <w:t xml:space="preserve">Dr. Homi Bhabha Road, </w:t>
      </w:r>
      <w:proofErr w:type="spellStart"/>
      <w:r w:rsidRPr="00D542B7">
        <w:rPr>
          <w:i/>
          <w:kern w:val="26"/>
        </w:rPr>
        <w:t>Pashan</w:t>
      </w:r>
      <w:proofErr w:type="spellEnd"/>
      <w:r w:rsidRPr="00D542B7">
        <w:rPr>
          <w:i/>
          <w:kern w:val="26"/>
        </w:rPr>
        <w:t>, Pune, 411008, India</w:t>
      </w:r>
    </w:p>
    <w:p w14:paraId="6D6D0831" w14:textId="0DFC8342" w:rsidR="00685C1A" w:rsidRPr="00685C1A" w:rsidRDefault="00D542B7" w:rsidP="00D542B7">
      <w:pPr>
        <w:jc w:val="center"/>
        <w:rPr>
          <w:i/>
        </w:rPr>
      </w:pPr>
      <w:r>
        <w:rPr>
          <w:i/>
        </w:rPr>
        <w:t>shifali.dutt@students.iiserpune.ac.in</w:t>
      </w:r>
    </w:p>
    <w:p w14:paraId="0AE041CE" w14:textId="77777777" w:rsidR="00325004" w:rsidRDefault="00325004" w:rsidP="00E0716D">
      <w:pPr>
        <w:jc w:val="center"/>
      </w:pPr>
    </w:p>
    <w:p w14:paraId="3E437A3D" w14:textId="680A1102" w:rsidR="00325004" w:rsidRDefault="00D542B7" w:rsidP="00E0716D">
      <w:pPr>
        <w:jc w:val="both"/>
      </w:pPr>
      <w:r w:rsidRPr="00617ED3">
        <w:t>Selective control over redox pathways remains a central challenge in molecular electrocatalysis, particularly for reactions involving short-lived radical intermediates in water. Here we show that ligand geometry alone can determine whether molecular oxygen undergoes one- or two-electron reduction under aqueous conditions. Using two constitutionally identical cobalt phthalocyanine isomers, we demonstrate that intramolecular hydrogen bonding in the α-isomer enforces a distinct electronic and geometric configuration that enables reversible, reduction of O</w:t>
      </w:r>
      <w:r w:rsidRPr="00D56F76">
        <w:rPr>
          <w:vertAlign w:val="subscript"/>
        </w:rPr>
        <w:t>2</w:t>
      </w:r>
      <w:r w:rsidRPr="00617ED3">
        <w:t xml:space="preserve"> to superoxide (O</w:t>
      </w:r>
      <w:r w:rsidRPr="00D56F76">
        <w:rPr>
          <w:vertAlign w:val="subscript"/>
        </w:rPr>
        <w:t>2</w:t>
      </w:r>
      <w:r w:rsidRPr="00D56F76">
        <w:rPr>
          <w:vertAlign w:val="superscript"/>
        </w:rPr>
        <w:t>-</w:t>
      </w:r>
      <w:r w:rsidRPr="00617ED3">
        <w:t xml:space="preserve">). In contrast, the β-isomer, which lacks these internal constraints, </w:t>
      </w:r>
      <w:proofErr w:type="spellStart"/>
      <w:r w:rsidRPr="00617ED3">
        <w:t>favours</w:t>
      </w:r>
      <w:proofErr w:type="spellEnd"/>
      <w:r w:rsidRPr="00617ED3">
        <w:t xml:space="preserve"> direct metal-oxygen interaction and two-electron reduction to hydrogen peroxide. A combination of hydrodynamic electrochemistry, in-situ electrochemical Raman spectroscopy, electron paramagnetic resonance, and UV Vis spectroscopic probes establishes superoxide as a stabilized reaction intermediate only in the geometrically constrained isomer. Computational analysis corroborates these observations, revealing preferential binding and stabilization of superoxide in the α-isomer arising from extended π-delocalization enforced by intramolecular hydrogen bonding. These findings identify internal molecular constraints as an active determinant of redox-state accessibility, revealing how it can gate reaction pathways and stabilize otherwise transient radical intermediates in aqueous environments.</w:t>
      </w:r>
    </w:p>
    <w:p w14:paraId="3DB55206" w14:textId="77777777" w:rsidR="00E0716D" w:rsidRDefault="00E0716D" w:rsidP="00E0716D">
      <w:pPr>
        <w:jc w:val="both"/>
      </w:pPr>
    </w:p>
    <w:p w14:paraId="7D01662D" w14:textId="77777777" w:rsidR="00325004" w:rsidRDefault="00325004" w:rsidP="00E0716D">
      <w:pPr>
        <w:jc w:val="both"/>
      </w:pPr>
    </w:p>
    <w:p w14:paraId="39B9B46C" w14:textId="77777777" w:rsidR="00325004" w:rsidRDefault="00325004" w:rsidP="00E0716D">
      <w:pPr>
        <w:jc w:val="both"/>
      </w:pPr>
    </w:p>
    <w:p w14:paraId="244B789D" w14:textId="77777777" w:rsidR="00E0716D" w:rsidRDefault="00E0716D" w:rsidP="00E0716D">
      <w:pPr>
        <w:jc w:val="both"/>
      </w:pPr>
    </w:p>
    <w:sectPr w:rsidR="00E0716D" w:rsidSect="00F97641">
      <w:footnotePr>
        <w:numRestart w:val="eachSect"/>
      </w:footnotePr>
      <w:endnotePr>
        <w:numFmt w:val="decimal"/>
      </w:endnotePr>
      <w:pgSz w:w="11907" w:h="16840" w:code="9"/>
      <w:pgMar w:top="1701" w:right="1701" w:bottom="1701" w:left="1701" w:header="567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</w:footnotePr>
  <w:endnotePr>
    <w:numFmt w:val="decimal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25004"/>
    <w:rsid w:val="00041EFD"/>
    <w:rsid w:val="00325004"/>
    <w:rsid w:val="00536366"/>
    <w:rsid w:val="00670794"/>
    <w:rsid w:val="00685C1A"/>
    <w:rsid w:val="00CA43A5"/>
    <w:rsid w:val="00D542B7"/>
    <w:rsid w:val="00E0716D"/>
    <w:rsid w:val="00F97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B1CEAF5"/>
  <w14:defaultImageDpi w14:val="300"/>
  <w15:docId w15:val="{77340B69-320E-4249-A17E-D78B1F7BDD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716D"/>
    <w:pPr>
      <w:widowControl w:val="0"/>
    </w:pPr>
    <w:rPr>
      <w:snapToGrid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254</Words>
  <Characters>1449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</vt:lpstr>
    </vt:vector>
  </TitlesOfParts>
  <Company>Electrochemical Society</Company>
  <LinksUpToDate>false</LinksUpToDate>
  <CharactersWithSpaces>1700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</dc:title>
  <dc:subject/>
  <dc:creator>Electrochemical</dc:creator>
  <cp:keywords/>
  <cp:lastModifiedBy>Kishan Dutt</cp:lastModifiedBy>
  <cp:revision>2</cp:revision>
  <cp:lastPrinted>2013-10-21T12:07:00Z</cp:lastPrinted>
  <dcterms:created xsi:type="dcterms:W3CDTF">2026-05-31T13:33:00Z</dcterms:created>
  <dcterms:modified xsi:type="dcterms:W3CDTF">2026-05-31T13:33:00Z</dcterms:modified>
</cp:coreProperties>
</file>