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50BB" w14:textId="77777777" w:rsidR="00715EB9" w:rsidRPr="00715EB9" w:rsidRDefault="00715EB9" w:rsidP="00715E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15EB9">
        <w:rPr>
          <w:rFonts w:ascii="Times New Roman" w:eastAsia="Times New Roman" w:hAnsi="Times New Roman" w:cs="Times New Roman"/>
          <w:b/>
          <w:bCs/>
        </w:rPr>
        <w:t>Time-Resolved Raman Spectroscopy of Nitrate Electroreduction Reveals Dynamic Interfacial Adsorbate Reorganization</w:t>
      </w:r>
    </w:p>
    <w:p w14:paraId="07A3781A" w14:textId="02429816" w:rsidR="00D8195E" w:rsidRPr="00D8195E" w:rsidRDefault="00D8195E" w:rsidP="00D8195E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  <w:lang w:val="pt-BR"/>
        </w:rPr>
      </w:pPr>
      <w:r w:rsidRPr="00D8195E">
        <w:rPr>
          <w:rFonts w:ascii="Times New Roman" w:hAnsi="Times New Roman" w:cs="Times New Roman"/>
          <w:sz w:val="22"/>
          <w:szCs w:val="22"/>
          <w:u w:val="single"/>
          <w:lang w:val="pt-BR"/>
        </w:rPr>
        <w:t>Gabriel F. Costa</w:t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>,</w:t>
      </w:r>
      <w:r w:rsidRPr="00D8195E">
        <w:rPr>
          <w:rFonts w:ascii="Times New Roman" w:hAnsi="Times New Roman" w:cs="Times New Roman"/>
          <w:sz w:val="22"/>
          <w:szCs w:val="22"/>
          <w:vertAlign w:val="superscript"/>
          <w:lang w:val="pt-BR"/>
        </w:rPr>
        <w:t>1</w:t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 xml:space="preserve"> Jaxiry Barroso-Martínez,</w:t>
      </w:r>
      <w:r w:rsidRPr="00D8195E">
        <w:rPr>
          <w:rFonts w:ascii="Times New Roman" w:hAnsi="Times New Roman" w:cs="Times New Roman"/>
          <w:sz w:val="22"/>
          <w:szCs w:val="22"/>
          <w:vertAlign w:val="superscript"/>
          <w:lang w:val="pt-BR"/>
        </w:rPr>
        <w:t>1</w:t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 xml:space="preserve"> María Escudero-Escribano</w:t>
      </w:r>
      <w:r w:rsidRPr="00D8195E">
        <w:rPr>
          <w:rFonts w:ascii="Times New Roman" w:hAnsi="Times New Roman" w:cs="Times New Roman"/>
          <w:sz w:val="22"/>
          <w:szCs w:val="22"/>
          <w:vertAlign w:val="superscript"/>
          <w:lang w:val="pt-BR"/>
        </w:rPr>
        <w:t>1,2</w:t>
      </w:r>
    </w:p>
    <w:p w14:paraId="25432037" w14:textId="77777777" w:rsidR="00D8195E" w:rsidRPr="00D8195E" w:rsidRDefault="00D8195E" w:rsidP="00D8195E">
      <w:pPr>
        <w:spacing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D8195E">
        <w:rPr>
          <w:rFonts w:ascii="Times New Roman" w:hAnsi="Times New Roman" w:cs="Times New Roman"/>
          <w:i/>
          <w:sz w:val="22"/>
          <w:szCs w:val="22"/>
          <w:vertAlign w:val="superscript"/>
        </w:rPr>
        <w:t>1</w:t>
      </w:r>
      <w:r w:rsidRPr="00D8195E">
        <w:rPr>
          <w:rFonts w:ascii="Times New Roman" w:hAnsi="Times New Roman" w:cs="Times New Roman"/>
          <w:i/>
          <w:sz w:val="22"/>
          <w:szCs w:val="22"/>
        </w:rPr>
        <w:t xml:space="preserve"> Catalan Institute of Nanoscience and Nanotechnology (ICN2), CSIC and Barcelona Institute of Science and Technology, UAB Campus, 08193 </w:t>
      </w:r>
      <w:proofErr w:type="spellStart"/>
      <w:r w:rsidRPr="00D8195E">
        <w:rPr>
          <w:rFonts w:ascii="Times New Roman" w:hAnsi="Times New Roman" w:cs="Times New Roman"/>
          <w:i/>
          <w:sz w:val="22"/>
          <w:szCs w:val="22"/>
        </w:rPr>
        <w:t>Bellaterra</w:t>
      </w:r>
      <w:proofErr w:type="spellEnd"/>
      <w:r w:rsidRPr="00D8195E">
        <w:rPr>
          <w:rFonts w:ascii="Times New Roman" w:hAnsi="Times New Roman" w:cs="Times New Roman"/>
          <w:i/>
          <w:sz w:val="22"/>
          <w:szCs w:val="22"/>
        </w:rPr>
        <w:t>, Barcelona, Spain</w:t>
      </w:r>
    </w:p>
    <w:p w14:paraId="1B379C40" w14:textId="77777777" w:rsidR="00D8195E" w:rsidRPr="00D8195E" w:rsidRDefault="00D8195E" w:rsidP="00D8195E">
      <w:pPr>
        <w:spacing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D8195E">
        <w:rPr>
          <w:rFonts w:ascii="Times New Roman" w:hAnsi="Times New Roman" w:cs="Times New Roman"/>
          <w:i/>
          <w:sz w:val="22"/>
          <w:szCs w:val="22"/>
          <w:vertAlign w:val="superscript"/>
        </w:rPr>
        <w:t>2</w:t>
      </w:r>
      <w:r w:rsidRPr="00D8195E">
        <w:rPr>
          <w:rFonts w:ascii="Times New Roman" w:hAnsi="Times New Roman" w:cs="Times New Roman"/>
          <w:i/>
          <w:sz w:val="22"/>
          <w:szCs w:val="22"/>
        </w:rPr>
        <w:t xml:space="preserve"> Catalan Institution for Research and Advanced Studies (ICREA), Pg. </w:t>
      </w:r>
      <w:proofErr w:type="spellStart"/>
      <w:r w:rsidRPr="00D8195E">
        <w:rPr>
          <w:rFonts w:ascii="Times New Roman" w:hAnsi="Times New Roman" w:cs="Times New Roman"/>
          <w:i/>
          <w:sz w:val="22"/>
          <w:szCs w:val="22"/>
        </w:rPr>
        <w:t>Lluís</w:t>
      </w:r>
      <w:proofErr w:type="spellEnd"/>
      <w:r w:rsidRPr="00D8195E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D8195E">
        <w:rPr>
          <w:rFonts w:ascii="Times New Roman" w:hAnsi="Times New Roman" w:cs="Times New Roman"/>
          <w:i/>
          <w:sz w:val="22"/>
          <w:szCs w:val="22"/>
        </w:rPr>
        <w:t>Companys</w:t>
      </w:r>
      <w:proofErr w:type="spellEnd"/>
      <w:r w:rsidRPr="00D8195E">
        <w:rPr>
          <w:rFonts w:ascii="Times New Roman" w:hAnsi="Times New Roman" w:cs="Times New Roman"/>
          <w:i/>
          <w:sz w:val="22"/>
          <w:szCs w:val="22"/>
        </w:rPr>
        <w:t xml:space="preserve"> 23, 08010 Barcelona, Spain</w:t>
      </w:r>
    </w:p>
    <w:p w14:paraId="2AAB2CDA" w14:textId="2F491B65" w:rsidR="00D8195E" w:rsidRPr="00D8195E" w:rsidRDefault="00D8195E" w:rsidP="00D8195E">
      <w:pPr>
        <w:spacing w:line="240" w:lineRule="auto"/>
        <w:jc w:val="center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D8195E">
        <w:rPr>
          <w:rFonts w:ascii="Times New Roman" w:hAnsi="Times New Roman" w:cs="Times New Roman"/>
          <w:i/>
          <w:sz w:val="22"/>
          <w:szCs w:val="22"/>
          <w:u w:val="single"/>
        </w:rPr>
        <w:t>gabriel.floriano@icn2.cat</w:t>
      </w:r>
    </w:p>
    <w:p w14:paraId="7142B27E" w14:textId="77777777" w:rsidR="00093AE8" w:rsidRPr="00D8195E" w:rsidRDefault="00093AE8" w:rsidP="00386AE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A5B3B28" w14:textId="7A408001" w:rsidR="00386AED" w:rsidRPr="00386AED" w:rsidRDefault="00386AED" w:rsidP="00093AE8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195E">
        <w:rPr>
          <w:rFonts w:ascii="Times New Roman" w:hAnsi="Times New Roman" w:cs="Times New Roman"/>
          <w:sz w:val="22"/>
          <w:szCs w:val="22"/>
        </w:rPr>
        <w:t>Nitrate electroreduction (NO</w:t>
      </w:r>
      <w:r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Pr="00D8195E">
        <w:rPr>
          <w:rFonts w:ascii="Times New Roman" w:hAnsi="Times New Roman" w:cs="Times New Roman"/>
          <w:sz w:val="22"/>
          <w:szCs w:val="22"/>
        </w:rPr>
        <w:t>RR) is the electrochemical conversion of dissolved nitrate into less harmful or value-added nitrogen products (e.g., nitrite, N</w:t>
      </w:r>
      <w:r w:rsidRPr="00D8195E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D8195E">
        <w:rPr>
          <w:rFonts w:ascii="Times New Roman" w:hAnsi="Times New Roman" w:cs="Times New Roman"/>
          <w:sz w:val="22"/>
          <w:szCs w:val="22"/>
        </w:rPr>
        <w:t>, NH</w:t>
      </w:r>
      <w:r w:rsidRPr="00D8195E">
        <w:rPr>
          <w:rFonts w:ascii="Times New Roman" w:hAnsi="Times New Roman" w:cs="Times New Roman"/>
          <w:sz w:val="22"/>
          <w:szCs w:val="22"/>
          <w:vertAlign w:val="subscript"/>
        </w:rPr>
        <w:t>4</w:t>
      </w:r>
      <w:r w:rsidRPr="00D8195E">
        <w:rPr>
          <w:rFonts w:ascii="Times New Roman" w:hAnsi="Times New Roman" w:cs="Times New Roman"/>
          <w:sz w:val="22"/>
          <w:szCs w:val="22"/>
          <w:vertAlign w:val="superscript"/>
        </w:rPr>
        <w:t>+</w:t>
      </w:r>
      <w:r w:rsidRPr="00D8195E">
        <w:rPr>
          <w:rFonts w:ascii="Times New Roman" w:hAnsi="Times New Roman" w:cs="Times New Roman"/>
          <w:sz w:val="22"/>
          <w:szCs w:val="22"/>
        </w:rPr>
        <w:t>/NH</w:t>
      </w:r>
      <w:r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Pr="00D8195E">
        <w:rPr>
          <w:rFonts w:ascii="Times New Roman" w:hAnsi="Times New Roman" w:cs="Times New Roman"/>
          <w:sz w:val="22"/>
          <w:szCs w:val="22"/>
        </w:rPr>
        <w:t>), offering a remediation route that transforms a persistent pollutant into benign or useful species while enabling integration with renewable electricity.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[1]</w:t>
      </w:r>
      <w:r w:rsidRPr="00D8195E">
        <w:rPr>
          <w:rFonts w:ascii="Times New Roman" w:hAnsi="Times New Roman" w:cs="Times New Roman"/>
          <w:sz w:val="22"/>
          <w:szCs w:val="22"/>
        </w:rPr>
        <w:t xml:space="preserve"> U</w:t>
      </w:r>
      <w:r w:rsidRPr="00386AED">
        <w:rPr>
          <w:rFonts w:ascii="Times New Roman" w:hAnsi="Times New Roman" w:cs="Times New Roman"/>
          <w:sz w:val="22"/>
          <w:szCs w:val="22"/>
        </w:rPr>
        <w:t>nderstanding</w:t>
      </w:r>
      <w:r w:rsidRPr="00D8195E">
        <w:rPr>
          <w:rFonts w:ascii="Times New Roman" w:hAnsi="Times New Roman" w:cs="Times New Roman"/>
          <w:sz w:val="22"/>
          <w:szCs w:val="22"/>
        </w:rPr>
        <w:t xml:space="preserve"> NO</w:t>
      </w:r>
      <w:r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Pr="00D8195E">
        <w:rPr>
          <w:rFonts w:ascii="Times New Roman" w:hAnsi="Times New Roman" w:cs="Times New Roman"/>
          <w:sz w:val="22"/>
          <w:szCs w:val="22"/>
        </w:rPr>
        <w:t xml:space="preserve">RR </w:t>
      </w:r>
      <w:r w:rsidRPr="00386AED">
        <w:rPr>
          <w:rFonts w:ascii="Times New Roman" w:hAnsi="Times New Roman" w:cs="Times New Roman"/>
          <w:sz w:val="22"/>
          <w:szCs w:val="22"/>
        </w:rPr>
        <w:t>is also critical for emerging reactions such as electrochemical urea synthesis</w:t>
      </w:r>
      <w:r w:rsidR="00533B26">
        <w:rPr>
          <w:rFonts w:ascii="Times New Roman" w:hAnsi="Times New Roman" w:cs="Times New Roman"/>
          <w:sz w:val="22"/>
          <w:szCs w:val="22"/>
        </w:rPr>
        <w:t>,</w:t>
      </w:r>
      <w:r w:rsidRPr="00386AED">
        <w:rPr>
          <w:rFonts w:ascii="Times New Roman" w:hAnsi="Times New Roman" w:cs="Times New Roman"/>
          <w:sz w:val="22"/>
          <w:szCs w:val="22"/>
        </w:rPr>
        <w:t xml:space="preserve"> because nitrate</w:t>
      </w:r>
      <w:r w:rsidRPr="00386AED">
        <w:rPr>
          <w:rFonts w:ascii="Times New Roman" w:hAnsi="Times New Roman" w:cs="Times New Roman"/>
          <w:sz w:val="22"/>
          <w:szCs w:val="22"/>
        </w:rPr>
        <w:noBreakHyphen/>
        <w:t>derived adsorbates and their binding geometries determine opportunities for C–N bond formation.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[2]</w:t>
      </w:r>
      <w:r w:rsidRPr="00386AED">
        <w:rPr>
          <w:rFonts w:ascii="Times New Roman" w:hAnsi="Times New Roman" w:cs="Times New Roman"/>
          <w:sz w:val="22"/>
          <w:szCs w:val="22"/>
        </w:rPr>
        <w:t xml:space="preserve"> </w:t>
      </w:r>
      <w:r w:rsidR="00337F9A">
        <w:rPr>
          <w:rFonts w:ascii="Times New Roman" w:hAnsi="Times New Roman" w:cs="Times New Roman"/>
          <w:sz w:val="22"/>
          <w:szCs w:val="22"/>
        </w:rPr>
        <w:t>T</w:t>
      </w:r>
      <w:r w:rsidR="00337F9A" w:rsidRPr="00D8195E">
        <w:rPr>
          <w:rFonts w:ascii="Times New Roman" w:hAnsi="Times New Roman" w:cs="Times New Roman"/>
          <w:sz w:val="22"/>
          <w:szCs w:val="22"/>
        </w:rPr>
        <w:t>he mechanistic complexity of nitrate electroreduction motivate direct, time</w:t>
      </w:r>
      <w:r w:rsidR="00337F9A" w:rsidRPr="00D8195E">
        <w:rPr>
          <w:rFonts w:ascii="Times New Roman" w:hAnsi="Times New Roman" w:cs="Times New Roman"/>
          <w:sz w:val="22"/>
          <w:szCs w:val="22"/>
        </w:rPr>
        <w:noBreakHyphen/>
        <w:t>resolved observation of surface intermediates that control selectivity.</w:t>
      </w:r>
      <w:r w:rsidR="00337F9A">
        <w:rPr>
          <w:rFonts w:ascii="Times New Roman" w:hAnsi="Times New Roman" w:cs="Times New Roman"/>
          <w:sz w:val="22"/>
          <w:szCs w:val="22"/>
        </w:rPr>
        <w:t xml:space="preserve"> </w:t>
      </w:r>
      <w:r w:rsidR="00235FDE">
        <w:rPr>
          <w:rFonts w:ascii="Times New Roman" w:hAnsi="Times New Roman" w:cs="Times New Roman"/>
          <w:sz w:val="22"/>
          <w:szCs w:val="22"/>
        </w:rPr>
        <w:t>Among transition metals, s</w:t>
      </w:r>
      <w:r w:rsidRPr="00386AED">
        <w:rPr>
          <w:rFonts w:ascii="Times New Roman" w:hAnsi="Times New Roman" w:cs="Times New Roman"/>
          <w:sz w:val="22"/>
          <w:szCs w:val="22"/>
        </w:rPr>
        <w:t>ilver is a model platform</w:t>
      </w:r>
      <w:r w:rsidRPr="00D8195E">
        <w:rPr>
          <w:rFonts w:ascii="Times New Roman" w:hAnsi="Times New Roman" w:cs="Times New Roman"/>
          <w:sz w:val="22"/>
          <w:szCs w:val="22"/>
        </w:rPr>
        <w:t xml:space="preserve"> to benchmark nitrogenous adsorbates</w:t>
      </w:r>
      <w:r w:rsidRPr="00386AED">
        <w:rPr>
          <w:rFonts w:ascii="Times New Roman" w:hAnsi="Times New Roman" w:cs="Times New Roman"/>
          <w:sz w:val="22"/>
          <w:szCs w:val="22"/>
        </w:rPr>
        <w:t xml:space="preserve"> because it stabilizes key nitrogenous intermediates while providing strong plasmonic enhancement for </w:t>
      </w:r>
      <w:r w:rsidRPr="00D8195E">
        <w:rPr>
          <w:rFonts w:ascii="Times New Roman" w:hAnsi="Times New Roman" w:cs="Times New Roman"/>
          <w:i/>
          <w:iCs/>
          <w:sz w:val="22"/>
          <w:szCs w:val="22"/>
        </w:rPr>
        <w:t>in-situ</w:t>
      </w:r>
      <w:r w:rsidRPr="00386AED">
        <w:rPr>
          <w:rFonts w:ascii="Times New Roman" w:hAnsi="Times New Roman" w:cs="Times New Roman"/>
          <w:sz w:val="22"/>
          <w:szCs w:val="22"/>
        </w:rPr>
        <w:t xml:space="preserve"> surface</w:t>
      </w:r>
      <w:r w:rsidRPr="00386AED">
        <w:rPr>
          <w:rFonts w:ascii="Times New Roman" w:hAnsi="Times New Roman" w:cs="Times New Roman"/>
          <w:sz w:val="22"/>
          <w:szCs w:val="22"/>
        </w:rPr>
        <w:noBreakHyphen/>
        <w:t>enhanced Raman spectroscopy</w:t>
      </w:r>
      <w:r w:rsidRPr="00D8195E">
        <w:rPr>
          <w:rFonts w:ascii="Times New Roman" w:hAnsi="Times New Roman" w:cs="Times New Roman"/>
          <w:sz w:val="22"/>
          <w:szCs w:val="22"/>
        </w:rPr>
        <w:t xml:space="preserve"> (SERS)</w:t>
      </w:r>
      <w:r w:rsidRPr="00386AED">
        <w:rPr>
          <w:rFonts w:ascii="Times New Roman" w:hAnsi="Times New Roman" w:cs="Times New Roman"/>
          <w:sz w:val="22"/>
          <w:szCs w:val="22"/>
        </w:rPr>
        <w:t>.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[3]</w:t>
      </w:r>
    </w:p>
    <w:p w14:paraId="5342821C" w14:textId="18B65647" w:rsidR="00093AE8" w:rsidRPr="00386AED" w:rsidRDefault="00235FDE" w:rsidP="00093AE8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5FDE">
        <w:rPr>
          <w:rFonts w:ascii="Times New Roman" w:hAnsi="Times New Roman" w:cs="Times New Roman"/>
          <w:sz w:val="22"/>
          <w:szCs w:val="22"/>
        </w:rPr>
        <w:t xml:space="preserve">We used </w:t>
      </w:r>
      <w:r>
        <w:rPr>
          <w:rFonts w:ascii="Times New Roman" w:hAnsi="Times New Roman" w:cs="Times New Roman"/>
          <w:i/>
          <w:iCs/>
          <w:sz w:val="22"/>
          <w:szCs w:val="22"/>
        </w:rPr>
        <w:t>i</w:t>
      </w:r>
      <w:r w:rsidR="00386AED" w:rsidRPr="00D8195E">
        <w:rPr>
          <w:rFonts w:ascii="Times New Roman" w:hAnsi="Times New Roman" w:cs="Times New Roman"/>
          <w:i/>
          <w:iCs/>
          <w:sz w:val="22"/>
          <w:szCs w:val="22"/>
        </w:rPr>
        <w:t>n-situ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time</w:t>
      </w:r>
      <w:r w:rsidR="00386AED" w:rsidRPr="00386AED">
        <w:rPr>
          <w:rFonts w:ascii="Times New Roman" w:hAnsi="Times New Roman" w:cs="Times New Roman"/>
          <w:sz w:val="22"/>
          <w:szCs w:val="22"/>
        </w:rPr>
        <w:noBreakHyphen/>
        <w:t>resolved SERS</w:t>
      </w:r>
      <w:r w:rsidR="00386AED" w:rsidRPr="00D8195E">
        <w:rPr>
          <w:rFonts w:ascii="Times New Roman" w:hAnsi="Times New Roman" w:cs="Times New Roman"/>
          <w:sz w:val="22"/>
          <w:szCs w:val="22"/>
        </w:rPr>
        <w:t xml:space="preserve"> (TR-SERS)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to follow adsorbate dynamics on roughened Ag during </w:t>
      </w:r>
      <w:r>
        <w:rPr>
          <w:rFonts w:ascii="Times New Roman" w:hAnsi="Times New Roman" w:cs="Times New Roman"/>
          <w:sz w:val="22"/>
          <w:szCs w:val="22"/>
        </w:rPr>
        <w:t xml:space="preserve">cyclic </w:t>
      </w:r>
      <w:proofErr w:type="spellStart"/>
      <w:r>
        <w:rPr>
          <w:rFonts w:ascii="Times New Roman" w:hAnsi="Times New Roman" w:cs="Times New Roman"/>
          <w:sz w:val="22"/>
          <w:szCs w:val="22"/>
        </w:rPr>
        <w:t>voltammetries</w:t>
      </w:r>
      <w:proofErr w:type="spellEnd"/>
      <w:r w:rsidR="000F313E">
        <w:rPr>
          <w:rFonts w:ascii="Times New Roman" w:hAnsi="Times New Roman" w:cs="Times New Roman"/>
          <w:sz w:val="22"/>
          <w:szCs w:val="22"/>
        </w:rPr>
        <w:t xml:space="preserve"> </w:t>
      </w:r>
      <w:r w:rsidR="00386AED" w:rsidRPr="00386AED">
        <w:rPr>
          <w:rFonts w:ascii="Times New Roman" w:hAnsi="Times New Roman" w:cs="Times New Roman"/>
          <w:sz w:val="22"/>
          <w:szCs w:val="22"/>
        </w:rPr>
        <w:t>to directly link spectroscopic events to electrochemical features.</w:t>
      </w:r>
      <w:r w:rsidR="00D66314">
        <w:rPr>
          <w:rFonts w:ascii="Times New Roman" w:hAnsi="Times New Roman" w:cs="Times New Roman"/>
          <w:sz w:val="22"/>
          <w:szCs w:val="22"/>
          <w:vertAlign w:val="superscript"/>
        </w:rPr>
        <w:t>[5]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TR</w:t>
      </w:r>
      <w:r w:rsidR="00386AED" w:rsidRPr="00386AED">
        <w:rPr>
          <w:rFonts w:ascii="Times New Roman" w:hAnsi="Times New Roman" w:cs="Times New Roman"/>
          <w:sz w:val="22"/>
          <w:szCs w:val="22"/>
        </w:rPr>
        <w:noBreakHyphen/>
        <w:t xml:space="preserve">SERS </w:t>
      </w:r>
      <w:r w:rsidR="00386AED" w:rsidRPr="00D8195E">
        <w:rPr>
          <w:rFonts w:ascii="Times New Roman" w:hAnsi="Times New Roman" w:cs="Times New Roman"/>
          <w:sz w:val="22"/>
          <w:szCs w:val="22"/>
        </w:rPr>
        <w:t>results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reveal potential</w:t>
      </w:r>
      <w:r w:rsidR="00386AED" w:rsidRPr="00386AED">
        <w:rPr>
          <w:rFonts w:ascii="Times New Roman" w:hAnsi="Times New Roman" w:cs="Times New Roman"/>
          <w:sz w:val="22"/>
          <w:szCs w:val="22"/>
        </w:rPr>
        <w:noBreakHyphen/>
        <w:t>dependent Raman bands assigned to interfacial species: Ag–O stretch (400–500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>), aqueous NO</w:t>
      </w:r>
      <w:r w:rsidR="00386AED"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symmetric stretch (1047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>), NO</w:t>
      </w:r>
      <w:r w:rsidR="00386AED"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antisymmetric</w:t>
      </w:r>
      <w:r w:rsidR="00386AED" w:rsidRPr="00D8195E">
        <w:rPr>
          <w:rFonts w:ascii="Times New Roman" w:hAnsi="Times New Roman" w:cs="Times New Roman"/>
          <w:sz w:val="22"/>
          <w:szCs w:val="22"/>
        </w:rPr>
        <w:t xml:space="preserve"> stretch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</w:t>
      </w:r>
      <w:r w:rsidR="00386AED" w:rsidRPr="00D8195E">
        <w:rPr>
          <w:rFonts w:ascii="Times New Roman" w:hAnsi="Times New Roman" w:cs="Times New Roman"/>
          <w:sz w:val="22"/>
          <w:szCs w:val="22"/>
        </w:rPr>
        <w:t>ν</w:t>
      </w:r>
      <w:r w:rsidR="00386AED"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(1360–1380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>), adsorbed NO</w:t>
      </w:r>
      <w:r w:rsidR="00386AED" w:rsidRPr="00D8195E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(1209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>), and two nitrate adsorption bands at 1580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and 1596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attributed to b</w:t>
      </w:r>
      <w:r w:rsidR="000F313E">
        <w:rPr>
          <w:rFonts w:ascii="Times New Roman" w:hAnsi="Times New Roman" w:cs="Times New Roman"/>
          <w:sz w:val="22"/>
          <w:szCs w:val="22"/>
        </w:rPr>
        <w:t>ridge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and </w:t>
      </w:r>
      <w:r w:rsidR="00C17919">
        <w:rPr>
          <w:rFonts w:ascii="Times New Roman" w:hAnsi="Times New Roman" w:cs="Times New Roman"/>
          <w:sz w:val="22"/>
          <w:szCs w:val="22"/>
        </w:rPr>
        <w:t>chelate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coordination, respectively.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[4]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A systematic, reversible shift from the 1580 </w:t>
      </w:r>
      <w:r w:rsidR="00093AE8" w:rsidRPr="00386AED">
        <w:rPr>
          <w:rFonts w:ascii="Times New Roman" w:hAnsi="Times New Roman" w:cs="Times New Roman"/>
          <w:sz w:val="22"/>
          <w:szCs w:val="22"/>
        </w:rPr>
        <w:t>cm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b</w:t>
      </w:r>
      <w:r w:rsidR="000F313E">
        <w:rPr>
          <w:rFonts w:ascii="Times New Roman" w:hAnsi="Times New Roman" w:cs="Times New Roman"/>
          <w:sz w:val="22"/>
          <w:szCs w:val="22"/>
        </w:rPr>
        <w:t>ridge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band toward the 1596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</w:t>
      </w:r>
      <w:r w:rsidR="0003713C">
        <w:rPr>
          <w:rFonts w:ascii="Times New Roman" w:hAnsi="Times New Roman" w:cs="Times New Roman"/>
          <w:sz w:val="22"/>
          <w:szCs w:val="22"/>
        </w:rPr>
        <w:t>chelate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band occurs within the cathodic potential window that coincides with the primary NO</w:t>
      </w:r>
      <w:r w:rsidR="00093AE8"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–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→ NO</w:t>
      </w:r>
      <w:r w:rsidR="00093AE8" w:rsidRPr="00D8195E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="00093AE8" w:rsidRPr="00D8195E">
        <w:rPr>
          <w:rFonts w:ascii="Times New Roman" w:hAnsi="Times New Roman" w:cs="Times New Roman"/>
          <w:sz w:val="22"/>
          <w:szCs w:val="22"/>
          <w:vertAlign w:val="superscript"/>
        </w:rPr>
        <w:t>–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electrochemical feature. At potentials more cathodic than −0.4 V </w:t>
      </w:r>
      <w:r w:rsidR="00386AED" w:rsidRPr="00386AED">
        <w:rPr>
          <w:rFonts w:ascii="Times New Roman" w:hAnsi="Times New Roman" w:cs="Times New Roman"/>
          <w:i/>
          <w:iCs/>
          <w:sz w:val="22"/>
          <w:szCs w:val="22"/>
        </w:rPr>
        <w:t>vs</w:t>
      </w:r>
      <w:r w:rsidR="00386AED" w:rsidRPr="00D8195E"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="00386AED" w:rsidRPr="00386AED">
        <w:rPr>
          <w:rFonts w:ascii="Times New Roman" w:hAnsi="Times New Roman" w:cs="Times New Roman"/>
          <w:sz w:val="22"/>
          <w:szCs w:val="22"/>
        </w:rPr>
        <w:t xml:space="preserve"> RHE, adsorbate bands attenuate and a broad interfacial water band (1610 cm</w:t>
      </w:r>
      <w:r w:rsidR="00386AED" w:rsidRPr="00D8195E">
        <w:rPr>
          <w:rFonts w:ascii="Times New Roman" w:hAnsi="Times New Roman" w:cs="Times New Roman"/>
          <w:sz w:val="22"/>
          <w:szCs w:val="22"/>
          <w:vertAlign w:val="superscript"/>
        </w:rPr>
        <w:t>–1</w:t>
      </w:r>
      <w:r w:rsidR="00386AED" w:rsidRPr="00386AED">
        <w:rPr>
          <w:rFonts w:ascii="Times New Roman" w:hAnsi="Times New Roman" w:cs="Times New Roman"/>
          <w:sz w:val="22"/>
          <w:szCs w:val="22"/>
        </w:rPr>
        <w:t>) dominates, consistent with solvation perturbation and reduced adsorbate stability. These observations establish a correlation between applied potential, adsorption geometry, and the spectroscopic precursor state for nitrite formation on Ag, demonstrating TR</w:t>
      </w:r>
      <w:r w:rsidR="00386AED" w:rsidRPr="00386AED">
        <w:rPr>
          <w:rFonts w:ascii="Times New Roman" w:hAnsi="Times New Roman" w:cs="Times New Roman"/>
          <w:sz w:val="22"/>
          <w:szCs w:val="22"/>
        </w:rPr>
        <w:noBreakHyphen/>
        <w:t>SERS as a powerful operando approach for probing dynamic adsorbate behavio</w:t>
      </w:r>
      <w:r w:rsidR="00386AED" w:rsidRPr="00D8195E">
        <w:rPr>
          <w:rFonts w:ascii="Times New Roman" w:hAnsi="Times New Roman" w:cs="Times New Roman"/>
          <w:sz w:val="22"/>
          <w:szCs w:val="22"/>
        </w:rPr>
        <w:t>u</w:t>
      </w:r>
      <w:r w:rsidR="00386AED" w:rsidRPr="00386AED">
        <w:rPr>
          <w:rFonts w:ascii="Times New Roman" w:hAnsi="Times New Roman" w:cs="Times New Roman"/>
          <w:sz w:val="22"/>
          <w:szCs w:val="22"/>
        </w:rPr>
        <w:t>r relevant to NO</w:t>
      </w:r>
      <w:r w:rsidR="00386AED" w:rsidRPr="00D8195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="00386AED" w:rsidRPr="00386AED">
        <w:rPr>
          <w:rFonts w:ascii="Times New Roman" w:hAnsi="Times New Roman" w:cs="Times New Roman"/>
          <w:sz w:val="22"/>
          <w:szCs w:val="22"/>
        </w:rPr>
        <w:t>RR and C–N coupling chemistry.</w:t>
      </w:r>
    </w:p>
    <w:p w14:paraId="1A6ACF7D" w14:textId="59FE9A23" w:rsidR="00D66314" w:rsidRPr="00D8195E" w:rsidRDefault="00093AE8" w:rsidP="00D8195E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val="pt-BR"/>
        </w:rPr>
      </w:pPr>
      <w:r w:rsidRPr="00D8195E">
        <w:rPr>
          <w:rFonts w:ascii="Times New Roman" w:hAnsi="Times New Roman" w:cs="Times New Roman"/>
          <w:sz w:val="22"/>
          <w:szCs w:val="22"/>
        </w:rPr>
        <w:t>[1]</w:t>
      </w:r>
      <w:r w:rsidRPr="00D8195E">
        <w:rPr>
          <w:rFonts w:ascii="Times New Roman" w:eastAsia="Times New Roman" w:hAnsi="Times New Roman" w:cs="Times New Roman"/>
          <w:sz w:val="22"/>
          <w:szCs w:val="22"/>
        </w:rPr>
        <w:t xml:space="preserve"> John, J.; MacFarlane, D. R.; Simonov, A. N.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Nat </w:t>
      </w:r>
      <w:proofErr w:type="spellStart"/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</w:rPr>
        <w:t>Catal</w:t>
      </w:r>
      <w:proofErr w:type="spellEnd"/>
      <w:r w:rsidRPr="00D8195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D8195E">
        <w:rPr>
          <w:rFonts w:ascii="Times New Roman" w:eastAsia="Times New Roman" w:hAnsi="Times New Roman" w:cs="Times New Roman"/>
          <w:b/>
          <w:bCs/>
          <w:sz w:val="22"/>
          <w:szCs w:val="22"/>
        </w:rPr>
        <w:t>2023</w:t>
      </w:r>
      <w:r w:rsidRPr="00D8195E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  <w:r w:rsidRPr="00D8195E">
        <w:rPr>
          <w:rFonts w:ascii="Times New Roman" w:eastAsia="Times New Roman" w:hAnsi="Times New Roman" w:cs="Times New Roman"/>
          <w:sz w:val="22"/>
          <w:szCs w:val="22"/>
        </w:rPr>
        <w:t xml:space="preserve"> (12), 1125–1130</w:t>
      </w:r>
      <w:r w:rsidR="00D8195E" w:rsidRPr="00D8195E">
        <w:rPr>
          <w:rFonts w:ascii="Times New Roman" w:eastAsia="Times New Roman" w:hAnsi="Times New Roman" w:cs="Times New Roman"/>
          <w:sz w:val="22"/>
          <w:szCs w:val="22"/>
        </w:rPr>
        <w:t>.</w:t>
      </w:r>
      <w:r w:rsidR="00D8195E" w:rsidRPr="00D8195E">
        <w:rPr>
          <w:rFonts w:ascii="Times New Roman" w:hAnsi="Times New Roman" w:cs="Times New Roman"/>
          <w:sz w:val="22"/>
          <w:szCs w:val="22"/>
        </w:rPr>
        <w:br/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>[2]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Costa, G. F.; Escudero-Escribano, M.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JACS Au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</w:t>
      </w:r>
      <w:r w:rsidRPr="00D8195E">
        <w:rPr>
          <w:rFonts w:ascii="Times New Roman" w:eastAsia="Times New Roman" w:hAnsi="Times New Roman" w:cs="Times New Roman"/>
          <w:b/>
          <w:bCs/>
          <w:sz w:val="22"/>
          <w:szCs w:val="22"/>
          <w:lang w:val="pt-BR"/>
        </w:rPr>
        <w:t>2025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,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5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(4), 1538–1548.</w:t>
      </w:r>
      <w:r w:rsidR="00D8195E" w:rsidRPr="00D8195E">
        <w:rPr>
          <w:rFonts w:ascii="Times New Roman" w:hAnsi="Times New Roman" w:cs="Times New Roman"/>
          <w:sz w:val="22"/>
          <w:szCs w:val="22"/>
          <w:lang w:val="pt-BR"/>
        </w:rPr>
        <w:br/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>[3]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Liu, H.; Park, J.; Chen, Y.; Qiu, Y.; Cheng, Y.; Srivastava, K.; Gu, S.; Shanks, B. H.; Roling, L. T.; Li, W.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ACS Catal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</w:t>
      </w:r>
      <w:r w:rsidRPr="00D8195E">
        <w:rPr>
          <w:rFonts w:ascii="Times New Roman" w:eastAsia="Times New Roman" w:hAnsi="Times New Roman" w:cs="Times New Roman"/>
          <w:b/>
          <w:bCs/>
          <w:sz w:val="22"/>
          <w:szCs w:val="22"/>
          <w:lang w:val="pt-BR"/>
        </w:rPr>
        <w:t>2021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,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11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(14), 8431–8442.</w:t>
      </w:r>
      <w:r w:rsidR="00D8195E" w:rsidRPr="00D8195E">
        <w:rPr>
          <w:rFonts w:ascii="Times New Roman" w:hAnsi="Times New Roman" w:cs="Times New Roman"/>
          <w:sz w:val="22"/>
          <w:szCs w:val="22"/>
          <w:lang w:val="pt-BR"/>
        </w:rPr>
        <w:br/>
      </w:r>
      <w:r w:rsidRPr="00D8195E">
        <w:rPr>
          <w:rFonts w:ascii="Times New Roman" w:hAnsi="Times New Roman" w:cs="Times New Roman"/>
          <w:sz w:val="22"/>
          <w:szCs w:val="22"/>
          <w:lang w:val="pt-BR"/>
        </w:rPr>
        <w:t>[4]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Lei, F.; Li, K.; Yang, M.; Yu, J.; Xu, M.; Zhang, Y.; Xie, J.; Hao, P.; Cui, G.; Tang, B.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Inorg Chem Front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</w:t>
      </w:r>
      <w:r w:rsidRPr="00D8195E">
        <w:rPr>
          <w:rFonts w:ascii="Times New Roman" w:eastAsia="Times New Roman" w:hAnsi="Times New Roman" w:cs="Times New Roman"/>
          <w:b/>
          <w:bCs/>
          <w:sz w:val="22"/>
          <w:szCs w:val="22"/>
          <w:lang w:val="pt-BR"/>
        </w:rPr>
        <w:t>2022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, </w:t>
      </w:r>
      <w:r w:rsidRPr="00D8195E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9</w:t>
      </w:r>
      <w:r w:rsidRPr="00D8195E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(11), 2734–2740.</w:t>
      </w:r>
      <w:r w:rsidR="00D66314">
        <w:rPr>
          <w:rFonts w:ascii="Times New Roman" w:eastAsia="Times New Roman" w:hAnsi="Times New Roman" w:cs="Times New Roman"/>
          <w:sz w:val="22"/>
          <w:szCs w:val="22"/>
          <w:lang w:val="pt-BR"/>
        </w:rPr>
        <w:br/>
      </w:r>
      <w:r w:rsidR="00D66314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[5] </w:t>
      </w:r>
      <w:r w:rsidR="00B04417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Costa, G. F.; Barroso-Martinez, J; Silvestre, D. A. F.</w:t>
      </w:r>
      <w:r w:rsidR="00AB5E96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; </w:t>
      </w:r>
      <w:hyperlink r:id="rId4" w:history="1">
        <w:r w:rsidR="00AB5E96" w:rsidRPr="002B6CEC">
          <w:rPr>
            <w:rStyle w:val="Hyperlink"/>
            <w:rFonts w:ascii="Times New Roman" w:eastAsia="Times New Roman" w:hAnsi="Times New Roman" w:cs="Times New Roman"/>
            <w:color w:val="auto"/>
            <w:sz w:val="22"/>
            <w:szCs w:val="22"/>
            <w:u w:val="none"/>
            <w:lang w:val="pt-BR"/>
          </w:rPr>
          <w:t>Brennan-Pollak</w:t>
        </w:r>
      </w:hyperlink>
      <w:r w:rsidR="00AB5E96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, C.; </w:t>
      </w:r>
      <w:hyperlink r:id="rId5" w:anchor="contrib-5" w:history="1">
        <w:r w:rsidR="00AB5E96" w:rsidRPr="002B6CEC">
          <w:rPr>
            <w:rStyle w:val="Hyperlink"/>
            <w:rFonts w:ascii="Times New Roman" w:eastAsia="Times New Roman" w:hAnsi="Times New Roman" w:cs="Times New Roman"/>
            <w:color w:val="auto"/>
            <w:sz w:val="22"/>
            <w:szCs w:val="22"/>
            <w:u w:val="none"/>
            <w:lang w:val="pt-BR"/>
          </w:rPr>
          <w:t>García-Melchor</w:t>
        </w:r>
      </w:hyperlink>
      <w:r w:rsidR="00AB5E96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, M; </w:t>
      </w:r>
      <w:hyperlink r:id="rId6" w:anchor="contrib-6" w:history="1">
        <w:r w:rsidR="00AB5E96" w:rsidRPr="002B6CEC">
          <w:rPr>
            <w:rStyle w:val="Hyperlink"/>
            <w:rFonts w:ascii="Times New Roman" w:eastAsia="Times New Roman" w:hAnsi="Times New Roman" w:cs="Times New Roman"/>
            <w:color w:val="auto"/>
            <w:sz w:val="22"/>
            <w:szCs w:val="22"/>
            <w:u w:val="none"/>
            <w:lang w:val="pt-BR"/>
          </w:rPr>
          <w:t>Escudero-Escribano</w:t>
        </w:r>
      </w:hyperlink>
      <w:r w:rsidR="002B130F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, M.</w:t>
      </w:r>
      <w:r w:rsidR="00B04417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. </w:t>
      </w:r>
      <w:r w:rsidR="00B04417" w:rsidRPr="002B6CEC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ChemRxiv</w:t>
      </w:r>
      <w:r w:rsidR="002B130F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, </w:t>
      </w:r>
      <w:r w:rsidR="002B130F" w:rsidRPr="002B6CEC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Under review</w:t>
      </w:r>
      <w:r w:rsidR="002B6CEC" w:rsidRPr="002B6CEC">
        <w:rPr>
          <w:rFonts w:ascii="Times New Roman" w:eastAsia="Times New Roman" w:hAnsi="Times New Roman" w:cs="Times New Roman"/>
          <w:i/>
          <w:iCs/>
          <w:sz w:val="22"/>
          <w:szCs w:val="22"/>
          <w:lang w:val="pt-BR"/>
        </w:rPr>
        <w:t>.</w:t>
      </w:r>
      <w:r w:rsidR="00B04417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 xml:space="preserve"> </w:t>
      </w:r>
      <w:r w:rsidR="00B04417" w:rsidRPr="002B6CEC">
        <w:rPr>
          <w:rFonts w:ascii="Times New Roman" w:eastAsia="Times New Roman" w:hAnsi="Times New Roman" w:cs="Times New Roman"/>
          <w:b/>
          <w:bCs/>
          <w:sz w:val="22"/>
          <w:szCs w:val="22"/>
          <w:lang w:val="pt-BR"/>
        </w:rPr>
        <w:t>2026</w:t>
      </w:r>
      <w:r w:rsidR="00B04417" w:rsidRPr="002B6CEC">
        <w:rPr>
          <w:rFonts w:ascii="Times New Roman" w:eastAsia="Times New Roman" w:hAnsi="Times New Roman" w:cs="Times New Roman"/>
          <w:sz w:val="22"/>
          <w:szCs w:val="22"/>
          <w:lang w:val="pt-BR"/>
        </w:rPr>
        <w:t>.</w:t>
      </w:r>
    </w:p>
    <w:p w14:paraId="7B65EC05" w14:textId="2E504ED7" w:rsidR="00D8195E" w:rsidRPr="00D8195E" w:rsidRDefault="00D8195E" w:rsidP="00D8195E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D8195E">
        <w:rPr>
          <w:rFonts w:ascii="Times New Roman" w:hAnsi="Times New Roman" w:cs="Times New Roman"/>
          <w:sz w:val="22"/>
          <w:szCs w:val="22"/>
        </w:rPr>
        <w:t>Financial support from EU project ICONIC (No. 101115204) is gratefully acknowledged.</w:t>
      </w:r>
    </w:p>
    <w:sectPr w:rsidR="00D8195E" w:rsidRPr="00D819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ED"/>
    <w:rsid w:val="0003713C"/>
    <w:rsid w:val="00057E84"/>
    <w:rsid w:val="00093AE8"/>
    <w:rsid w:val="000F313E"/>
    <w:rsid w:val="001B5B60"/>
    <w:rsid w:val="00235FDE"/>
    <w:rsid w:val="00273350"/>
    <w:rsid w:val="002B130F"/>
    <w:rsid w:val="002B6CEC"/>
    <w:rsid w:val="00337F9A"/>
    <w:rsid w:val="00386AED"/>
    <w:rsid w:val="00490156"/>
    <w:rsid w:val="00502375"/>
    <w:rsid w:val="00533B26"/>
    <w:rsid w:val="00563BEB"/>
    <w:rsid w:val="005A2CAE"/>
    <w:rsid w:val="00715EB9"/>
    <w:rsid w:val="008716ED"/>
    <w:rsid w:val="00953ED6"/>
    <w:rsid w:val="009927E6"/>
    <w:rsid w:val="00AB5E96"/>
    <w:rsid w:val="00B04417"/>
    <w:rsid w:val="00B22065"/>
    <w:rsid w:val="00C1017D"/>
    <w:rsid w:val="00C17919"/>
    <w:rsid w:val="00D66314"/>
    <w:rsid w:val="00D8195E"/>
    <w:rsid w:val="00E5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30BF"/>
  <w15:chartTrackingRefBased/>
  <w15:docId w15:val="{935281D4-7E2D-4D3B-99C0-DA6514C0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5E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mrxiv.org/doi/full/10.26434/chemrxiv-2025-v4rj1/v3" TargetMode="External"/><Relationship Id="rId5" Type="http://schemas.openxmlformats.org/officeDocument/2006/relationships/hyperlink" Target="https://chemrxiv.org/doi/full/10.26434/chemrxiv-2025-v4rj1/v3" TargetMode="External"/><Relationship Id="rId4" Type="http://schemas.openxmlformats.org/officeDocument/2006/relationships/hyperlink" Target="mailto:Brennan-Pol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Floriano Costa</dc:creator>
  <cp:keywords/>
  <dc:description/>
  <cp:lastModifiedBy>Gabriel Floriano Costa</cp:lastModifiedBy>
  <cp:revision>2</cp:revision>
  <dcterms:created xsi:type="dcterms:W3CDTF">2026-05-21T10:32:00Z</dcterms:created>
  <dcterms:modified xsi:type="dcterms:W3CDTF">2026-05-21T10:32:00Z</dcterms:modified>
</cp:coreProperties>
</file>