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A146F" w14:textId="1AE649F5" w:rsidR="002028BF" w:rsidRDefault="009712FE" w:rsidP="002028BF">
      <w:pPr>
        <w:jc w:val="center"/>
        <w:rPr>
          <w:b/>
          <w:sz w:val="28"/>
        </w:rPr>
      </w:pPr>
      <w:r w:rsidRPr="009712FE">
        <w:rPr>
          <w:b/>
          <w:sz w:val="28"/>
        </w:rPr>
        <w:t>Revisiting a (G)old Riddle: Oxide Growth and Place-Exchange on Au(111) in Alkaline Electrolyte</w:t>
      </w:r>
    </w:p>
    <w:p w14:paraId="6E4ED327" w14:textId="77777777" w:rsidR="009712FE" w:rsidRPr="00A86EB9" w:rsidRDefault="009712FE" w:rsidP="002028BF">
      <w:pPr>
        <w:jc w:val="center"/>
        <w:rPr>
          <w:b/>
          <w:sz w:val="28"/>
        </w:rPr>
      </w:pPr>
    </w:p>
    <w:p w14:paraId="1751F64E" w14:textId="1FBAA662" w:rsidR="00325004" w:rsidRDefault="00AE620E" w:rsidP="00E0716D">
      <w:pPr>
        <w:jc w:val="center"/>
      </w:pPr>
      <w:r w:rsidRPr="00AE620E">
        <w:rPr>
          <w:u w:val="single"/>
        </w:rPr>
        <w:t>Francesc Valls Mascaró</w:t>
      </w:r>
      <w:r w:rsidRPr="00A05382">
        <w:rPr>
          <w:u w:val="single"/>
          <w:vertAlign w:val="superscript"/>
        </w:rPr>
        <w:t>1</w:t>
      </w:r>
      <w:r w:rsidRPr="00AE620E">
        <w:rPr>
          <w:u w:val="single"/>
        </w:rPr>
        <w:t>*</w:t>
      </w:r>
      <w:r w:rsidR="00325004">
        <w:t xml:space="preserve">, </w:t>
      </w:r>
      <w:r w:rsidR="00A42CE7" w:rsidRPr="00A42CE7">
        <w:t>Toni Moser</w:t>
      </w:r>
      <w:r w:rsidR="00A42CE7" w:rsidRPr="00A05382">
        <w:rPr>
          <w:vertAlign w:val="superscript"/>
        </w:rPr>
        <w:t>1</w:t>
      </w:r>
      <w:r w:rsidR="00A42CE7">
        <w:t xml:space="preserve">, </w:t>
      </w:r>
      <w:r w:rsidR="00B35F4E">
        <w:t>Lara Handle</w:t>
      </w:r>
      <w:r w:rsidR="00A05382" w:rsidRPr="00A05382">
        <w:rPr>
          <w:vertAlign w:val="superscript"/>
        </w:rPr>
        <w:t>1</w:t>
      </w:r>
      <w:r w:rsidR="00B35F4E">
        <w:t>, Christ</w:t>
      </w:r>
      <w:r w:rsidR="00DE35E3">
        <w:t>oph Griesser</w:t>
      </w:r>
      <w:r w:rsidR="00A05382" w:rsidRPr="00A05382">
        <w:rPr>
          <w:vertAlign w:val="superscript"/>
        </w:rPr>
        <w:t>1</w:t>
      </w:r>
      <w:r w:rsidR="000777BF">
        <w:t xml:space="preserve">, </w:t>
      </w:r>
      <w:r w:rsidR="000777BF" w:rsidRPr="00164CCA">
        <w:t>Andrea Auer</w:t>
      </w:r>
      <w:r w:rsidR="00A05382" w:rsidRPr="00A05382">
        <w:rPr>
          <w:vertAlign w:val="superscript"/>
        </w:rPr>
        <w:t>1</w:t>
      </w:r>
      <w:r w:rsidR="000777BF">
        <w:t>,</w:t>
      </w:r>
      <w:r w:rsidR="00164CCA" w:rsidRPr="00164CCA">
        <w:t xml:space="preserve"> and Julia Kunze-Liebhäuser</w:t>
      </w:r>
      <w:r w:rsidR="00164CCA" w:rsidRPr="00A05382">
        <w:rPr>
          <w:vertAlign w:val="superscript"/>
        </w:rPr>
        <w:t>1</w:t>
      </w:r>
    </w:p>
    <w:p w14:paraId="608EA5EC" w14:textId="42977781" w:rsidR="00B35F4E" w:rsidRPr="005844BB" w:rsidRDefault="00B35F4E" w:rsidP="00711836">
      <w:pPr>
        <w:jc w:val="center"/>
        <w:rPr>
          <w:i/>
          <w:iCs/>
        </w:rPr>
      </w:pPr>
      <w:r w:rsidRPr="005844BB">
        <w:rPr>
          <w:i/>
          <w:iCs/>
          <w:vertAlign w:val="superscript"/>
        </w:rPr>
        <w:t>1</w:t>
      </w:r>
      <w:r w:rsidRPr="005844BB">
        <w:rPr>
          <w:i/>
          <w:iCs/>
        </w:rPr>
        <w:t xml:space="preserve"> </w:t>
      </w:r>
      <w:r w:rsidR="002A237D" w:rsidRPr="005844BB">
        <w:rPr>
          <w:i/>
          <w:iCs/>
        </w:rPr>
        <w:t xml:space="preserve">Institute of Physical Chemistry, </w:t>
      </w:r>
      <w:r w:rsidRPr="005844BB">
        <w:rPr>
          <w:i/>
          <w:iCs/>
        </w:rPr>
        <w:t>University of Innsbruck, Innsbruck, 6020 (Austria)</w:t>
      </w:r>
    </w:p>
    <w:p w14:paraId="76FB3909" w14:textId="7CA3FBFF" w:rsidR="00AE620E" w:rsidRPr="00164CCA" w:rsidRDefault="00A42CE7" w:rsidP="00164CCA">
      <w:pPr>
        <w:jc w:val="center"/>
        <w:rPr>
          <w:i/>
        </w:rPr>
      </w:pPr>
      <w:r w:rsidRPr="00A42CE7">
        <w:rPr>
          <w:i/>
        </w:rPr>
        <w:t>* Francesc.Valls-Mascaro@uibk.ac.at</w:t>
      </w:r>
    </w:p>
    <w:p w14:paraId="652D2D74" w14:textId="77777777" w:rsidR="00A42CE7" w:rsidRDefault="00A42CE7" w:rsidP="00AE620E">
      <w:pPr>
        <w:jc w:val="center"/>
      </w:pPr>
    </w:p>
    <w:p w14:paraId="6A9A8360" w14:textId="74EA51B2" w:rsidR="00443166" w:rsidRDefault="00443166" w:rsidP="00E0716D">
      <w:pPr>
        <w:jc w:val="both"/>
      </w:pPr>
      <w:r w:rsidRPr="00443166">
        <w:t xml:space="preserve">Understanding noble metal oxidation is essential for designing stable, high-performance electrocatalysts for direct energy conversion. </w:t>
      </w:r>
      <w:r w:rsidR="00AA099A">
        <w:t>S</w:t>
      </w:r>
      <w:r w:rsidRPr="00443166">
        <w:t>ingle-crystalline Au(111) is ideal for isolating fundamental surface processes</w:t>
      </w:r>
      <w:r w:rsidR="00AD420E">
        <w:t xml:space="preserve"> </w:t>
      </w:r>
      <w:r w:rsidR="001A741A">
        <w:t>that take place during t</w:t>
      </w:r>
      <w:r w:rsidR="00090257">
        <w:t>h</w:t>
      </w:r>
      <w:r w:rsidR="001A741A">
        <w:t xml:space="preserve">e anodic oxidation, due </w:t>
      </w:r>
      <w:r w:rsidR="00AA099A">
        <w:t>to its high nobility and the model applicability of the processes at its electrified solid/liquid interface</w:t>
      </w:r>
      <w:r w:rsidRPr="00443166">
        <w:t>. While the anodic oxidation of Au(111) via the gold-oxygen place-exchange mechanism is well-documented in acidic media</w:t>
      </w:r>
      <w:r w:rsidR="00CE1E7B">
        <w:t xml:space="preserve"> [1-4]</w:t>
      </w:r>
      <w:r w:rsidRPr="00443166">
        <w:t xml:space="preserve">, its dynamics and structural consequences in alkaline environments remain poorly understood. In this work, we elucidate the oxidation and associated surface restructuring of Au(111) in 0.1 M NaOH by complementing </w:t>
      </w:r>
      <w:r w:rsidR="007E5C24">
        <w:t>nanoscale</w:t>
      </w:r>
      <w:r w:rsidRPr="00443166">
        <w:t xml:space="preserve"> imaging with spectroscopic</w:t>
      </w:r>
      <w:r w:rsidR="00EA564C">
        <w:t xml:space="preserve"> </w:t>
      </w:r>
      <w:r w:rsidRPr="00443166">
        <w:t>tracking.</w:t>
      </w:r>
      <w:r w:rsidR="002C4D1E">
        <w:t xml:space="preserve"> </w:t>
      </w:r>
      <w:r w:rsidRPr="00443166">
        <w:t>Using electrochemical scanning tunneling microscopy (EC-STM), we directly visualize the growth of a surface oxide layer across Au(111) terraces</w:t>
      </w:r>
      <w:r w:rsidR="001A741A">
        <w:t xml:space="preserve"> that occurs in the form of a dark appearing slowly propagating oxidation front.</w:t>
      </w:r>
      <w:r w:rsidRPr="00443166">
        <w:t xml:space="preserve"> </w:t>
      </w:r>
      <w:r w:rsidR="001A741A">
        <w:t xml:space="preserve">This observation </w:t>
      </w:r>
      <w:r w:rsidRPr="00443166">
        <w:t>reveal</w:t>
      </w:r>
      <w:r w:rsidR="001A741A">
        <w:t>s</w:t>
      </w:r>
      <w:r w:rsidRPr="00443166">
        <w:t xml:space="preserve"> the slow, kinetically limited dynamics of the place-exchange process</w:t>
      </w:r>
      <w:r w:rsidR="006E4DBB">
        <w:t xml:space="preserve"> that results in </w:t>
      </w:r>
      <w:r w:rsidR="001A741A">
        <w:t xml:space="preserve">an </w:t>
      </w:r>
      <w:r w:rsidR="006E4DBB">
        <w:t>irreversible roughening of the surface</w:t>
      </w:r>
      <w:r w:rsidRPr="00443166">
        <w:t xml:space="preserve">. Crucially, this structural transformation is corroborated by electrochemical X-ray photoelectron spectroscopy (EC-XPS), where the emergence of </w:t>
      </w:r>
      <w:proofErr w:type="gramStart"/>
      <w:r w:rsidRPr="00443166">
        <w:t>a</w:t>
      </w:r>
      <w:proofErr w:type="gramEnd"/>
      <w:r w:rsidRPr="00443166">
        <w:t xml:space="preserve"> </w:t>
      </w:r>
      <w:r w:rsidR="002C4D1E">
        <w:t>Au</w:t>
      </w:r>
      <w:r w:rsidR="002C4D1E" w:rsidRPr="002C4D1E">
        <w:rPr>
          <w:vertAlign w:val="superscript"/>
        </w:rPr>
        <w:t>+</w:t>
      </w:r>
      <w:r w:rsidRPr="00443166">
        <w:t xml:space="preserve"> peak in the Au 4f spectra at 1.</w:t>
      </w:r>
      <w:r w:rsidR="001A741A" w:rsidRPr="00443166">
        <w:t>3</w:t>
      </w:r>
      <w:r w:rsidR="001A741A">
        <w:t>4</w:t>
      </w:r>
      <w:r w:rsidR="001A741A" w:rsidRPr="00443166">
        <w:t xml:space="preserve"> </w:t>
      </w:r>
      <w:r w:rsidRPr="00443166">
        <w:t xml:space="preserve">V vs. RHE precisely matches the </w:t>
      </w:r>
      <w:r w:rsidR="0063156C">
        <w:t xml:space="preserve">observation of the </w:t>
      </w:r>
      <w:r w:rsidRPr="00443166">
        <w:t xml:space="preserve">oxidation front. </w:t>
      </w:r>
      <w:r w:rsidR="006F4720">
        <w:t>T</w:t>
      </w:r>
      <w:r w:rsidRPr="00443166">
        <w:t xml:space="preserve">hese findings provide critical insight into the phase transitions governing </w:t>
      </w:r>
      <w:r w:rsidR="00CF3C31">
        <w:t>noble metal</w:t>
      </w:r>
      <w:r w:rsidRPr="00443166">
        <w:t xml:space="preserve"> </w:t>
      </w:r>
      <w:r w:rsidR="00030D76">
        <w:t xml:space="preserve">oxidation and </w:t>
      </w:r>
      <w:r w:rsidRPr="00443166">
        <w:t xml:space="preserve">degradation, </w:t>
      </w:r>
      <w:r w:rsidR="00DC23FD">
        <w:t xml:space="preserve">while also </w:t>
      </w:r>
      <w:r w:rsidRPr="00443166">
        <w:t>offering a framework to enhance the stability of Au-based materials in alkaline electrochemical applications.</w:t>
      </w:r>
    </w:p>
    <w:p w14:paraId="0C99682D" w14:textId="0F967D63" w:rsidR="0084220F" w:rsidRDefault="003B5F48" w:rsidP="009C48E9">
      <w:pPr>
        <w:rPr>
          <w:noProof/>
          <w:snapToGrid/>
        </w:rPr>
      </w:pPr>
      <w:r w:rsidRPr="003B5F48">
        <w:rPr>
          <w:noProof/>
          <w:snapToGrid/>
        </w:rPr>
        <w:t xml:space="preserve"> </w:t>
      </w:r>
    </w:p>
    <w:p w14:paraId="205CA8F0" w14:textId="3D86F9BD" w:rsidR="00550706" w:rsidRDefault="00550706" w:rsidP="00D346E6">
      <w:pPr>
        <w:jc w:val="center"/>
      </w:pPr>
      <w:r w:rsidRPr="00550706">
        <w:rPr>
          <w:noProof/>
        </w:rPr>
        <w:drawing>
          <wp:inline distT="0" distB="0" distL="0" distR="0" wp14:anchorId="7E27A1F2" wp14:editId="286EB46A">
            <wp:extent cx="5400675" cy="2894330"/>
            <wp:effectExtent l="0" t="0" r="9525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89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33C17" w14:textId="77777777" w:rsidR="0084220F" w:rsidRDefault="0084220F" w:rsidP="00E0716D">
      <w:pPr>
        <w:jc w:val="both"/>
      </w:pPr>
    </w:p>
    <w:p w14:paraId="3E4AFB28" w14:textId="36BC7EFE" w:rsidR="00D9583A" w:rsidRDefault="004B1E33" w:rsidP="00E0716D">
      <w:pPr>
        <w:jc w:val="both"/>
      </w:pPr>
      <w:r w:rsidRPr="004C7364">
        <w:rPr>
          <w:b/>
          <w:bCs/>
        </w:rPr>
        <w:t>Figure 1</w:t>
      </w:r>
      <w:r w:rsidR="004C7364" w:rsidRPr="004C7364">
        <w:rPr>
          <w:b/>
          <w:bCs/>
        </w:rPr>
        <w:t>.</w:t>
      </w:r>
      <w:r>
        <w:t xml:space="preserve"> </w:t>
      </w:r>
      <w:r w:rsidR="003831F3" w:rsidRPr="003831F3">
        <w:t xml:space="preserve">Electrochemical oxidation and restructuring of Au(111) in 0.1 M NaOH. </w:t>
      </w:r>
      <w:r w:rsidR="00833B1A" w:rsidRPr="00BB0121">
        <w:rPr>
          <w:b/>
          <w:bCs/>
        </w:rPr>
        <w:t>(a)</w:t>
      </w:r>
      <w:r w:rsidR="00833B1A">
        <w:t xml:space="preserve"> </w:t>
      </w:r>
      <w:r w:rsidR="00F60A25">
        <w:t>Cyclic</w:t>
      </w:r>
      <w:r w:rsidR="00983EC0">
        <w:t xml:space="preserve"> </w:t>
      </w:r>
      <w:r w:rsidR="00194B09">
        <w:t xml:space="preserve">voltammogram </w:t>
      </w:r>
      <w:r w:rsidR="00903E18">
        <w:t xml:space="preserve">recorded at </w:t>
      </w:r>
      <w:r w:rsidR="003831F3">
        <w:t xml:space="preserve">a scan rate of </w:t>
      </w:r>
      <w:r w:rsidR="00903E18">
        <w:t>50 mV/s</w:t>
      </w:r>
      <w:r w:rsidR="003831F3" w:rsidRPr="003831F3">
        <w:t>.</w:t>
      </w:r>
      <w:r w:rsidR="00903E18">
        <w:t xml:space="preserve"> </w:t>
      </w:r>
      <w:r w:rsidR="00194B09" w:rsidRPr="00BB0121">
        <w:rPr>
          <w:b/>
          <w:bCs/>
        </w:rPr>
        <w:t>(b</w:t>
      </w:r>
      <w:r w:rsidR="00E20265" w:rsidRPr="00BB0121">
        <w:rPr>
          <w:b/>
          <w:bCs/>
        </w:rPr>
        <w:t>)</w:t>
      </w:r>
      <w:r w:rsidR="00E20265">
        <w:t xml:space="preserve"> </w:t>
      </w:r>
      <w:r w:rsidR="003831F3">
        <w:t xml:space="preserve">In-situ </w:t>
      </w:r>
      <w:r w:rsidR="004C7364" w:rsidRPr="004C7364">
        <w:t xml:space="preserve">EC-STM images of Au(111) </w:t>
      </w:r>
      <w:r w:rsidR="00EA33FD" w:rsidRPr="00EA33FD">
        <w:t>acquired at the designated potentials, capturing the progression of the oxidation front</w:t>
      </w:r>
      <w:r w:rsidR="00DB7A1E">
        <w:t xml:space="preserve">, which </w:t>
      </w:r>
      <w:r w:rsidR="009050E0">
        <w:t>grows in the direction of the red arrow</w:t>
      </w:r>
      <w:r w:rsidR="00EA33FD" w:rsidRPr="00EA33FD">
        <w:t>.</w:t>
      </w:r>
      <w:r w:rsidR="00884D4C">
        <w:t xml:space="preserve"> </w:t>
      </w:r>
      <w:r w:rsidR="00884D4C" w:rsidRPr="00BB0121">
        <w:rPr>
          <w:b/>
          <w:bCs/>
        </w:rPr>
        <w:t>(</w:t>
      </w:r>
      <w:r w:rsidR="00BB0121" w:rsidRPr="00BB0121">
        <w:rPr>
          <w:b/>
          <w:bCs/>
        </w:rPr>
        <w:t>c</w:t>
      </w:r>
      <w:r w:rsidR="00884D4C" w:rsidRPr="00BB0121">
        <w:rPr>
          <w:b/>
          <w:bCs/>
        </w:rPr>
        <w:t>)</w:t>
      </w:r>
      <w:r w:rsidR="00884D4C">
        <w:t xml:space="preserve"> </w:t>
      </w:r>
      <w:r w:rsidR="00487B86" w:rsidRPr="00487B86">
        <w:t xml:space="preserve">High-resolution EC-XPS spectra of the Au 4f core level recorded at the corresponding potentials, </w:t>
      </w:r>
      <w:r w:rsidR="003233EF">
        <w:t>showing</w:t>
      </w:r>
      <w:r w:rsidR="00487B86" w:rsidRPr="00487B86">
        <w:t xml:space="preserve"> the </w:t>
      </w:r>
      <w:r w:rsidR="00E00F18">
        <w:t xml:space="preserve">oxidation </w:t>
      </w:r>
      <w:r w:rsidR="00487B86" w:rsidRPr="00487B86">
        <w:t xml:space="preserve">onset </w:t>
      </w:r>
      <w:r w:rsidR="00E00F18">
        <w:t xml:space="preserve">through appearance </w:t>
      </w:r>
      <w:r w:rsidR="00487B86" w:rsidRPr="00487B86">
        <w:t xml:space="preserve">of the </w:t>
      </w:r>
      <w:r w:rsidR="00487B86">
        <w:t>Au</w:t>
      </w:r>
      <w:r w:rsidR="00487B86" w:rsidRPr="003D7E1E">
        <w:rPr>
          <w:vertAlign w:val="superscript"/>
        </w:rPr>
        <w:t>+</w:t>
      </w:r>
      <w:r w:rsidR="00487B86" w:rsidRPr="00487B86">
        <w:t xml:space="preserve"> </w:t>
      </w:r>
      <w:r w:rsidR="00E00F18">
        <w:t>component</w:t>
      </w:r>
      <w:r w:rsidR="00487B86" w:rsidRPr="00487B86">
        <w:t>.</w:t>
      </w:r>
    </w:p>
    <w:p w14:paraId="7AB502E1" w14:textId="77777777" w:rsidR="009C48E9" w:rsidRDefault="009C48E9" w:rsidP="00E0716D">
      <w:pPr>
        <w:jc w:val="both"/>
      </w:pPr>
    </w:p>
    <w:p w14:paraId="1623B7BF" w14:textId="77777777" w:rsidR="00C10821" w:rsidRDefault="00D14DA3" w:rsidP="00D14DA3">
      <w:pPr>
        <w:jc w:val="both"/>
        <w:rPr>
          <w:b/>
          <w:bCs/>
        </w:rPr>
      </w:pPr>
      <w:r w:rsidRPr="00C10821">
        <w:rPr>
          <w:b/>
          <w:bCs/>
        </w:rPr>
        <w:t>References</w:t>
      </w:r>
    </w:p>
    <w:p w14:paraId="04319DEB" w14:textId="583220DE" w:rsidR="00D14DA3" w:rsidRDefault="00D14DA3" w:rsidP="00D14DA3">
      <w:pPr>
        <w:jc w:val="both"/>
      </w:pPr>
      <w:r>
        <w:t xml:space="preserve">[1] B. E. Conway, Prog. Surf. Sci. </w:t>
      </w:r>
      <w:r w:rsidRPr="00C10821">
        <w:rPr>
          <w:b/>
          <w:bCs/>
        </w:rPr>
        <w:t>1995</w:t>
      </w:r>
      <w:r>
        <w:t xml:space="preserve">, </w:t>
      </w:r>
      <w:r w:rsidRPr="00C10821">
        <w:rPr>
          <w:i/>
          <w:iCs/>
        </w:rPr>
        <w:t>228</w:t>
      </w:r>
      <w:r>
        <w:t>, 429.</w:t>
      </w:r>
    </w:p>
    <w:p w14:paraId="7E83FA96" w14:textId="77777777" w:rsidR="00D14DA3" w:rsidRDefault="00D14DA3" w:rsidP="00D14DA3">
      <w:pPr>
        <w:jc w:val="both"/>
      </w:pPr>
      <w:r>
        <w:t xml:space="preserve">[2] H. Honbo et al., Anal. Chem. </w:t>
      </w:r>
      <w:r w:rsidRPr="00C10821">
        <w:rPr>
          <w:b/>
          <w:bCs/>
        </w:rPr>
        <w:t>1990</w:t>
      </w:r>
      <w:r>
        <w:t xml:space="preserve">, </w:t>
      </w:r>
      <w:r w:rsidRPr="00C10821">
        <w:rPr>
          <w:i/>
          <w:iCs/>
        </w:rPr>
        <w:t>62</w:t>
      </w:r>
      <w:r>
        <w:t>, 2424.</w:t>
      </w:r>
    </w:p>
    <w:p w14:paraId="283151DE" w14:textId="77777777" w:rsidR="00D14DA3" w:rsidRDefault="00D14DA3" w:rsidP="00D14DA3">
      <w:pPr>
        <w:jc w:val="both"/>
      </w:pPr>
      <w:r>
        <w:t xml:space="preserve">[3] K. J. Hanson et al., MRS Online Proc. Library </w:t>
      </w:r>
      <w:r w:rsidRPr="00C10821">
        <w:rPr>
          <w:b/>
          <w:bCs/>
        </w:rPr>
        <w:t>1991</w:t>
      </w:r>
      <w:r>
        <w:t xml:space="preserve">, </w:t>
      </w:r>
      <w:r w:rsidRPr="00C10821">
        <w:rPr>
          <w:i/>
          <w:iCs/>
        </w:rPr>
        <w:t>237</w:t>
      </w:r>
      <w:r>
        <w:t>, 323.</w:t>
      </w:r>
    </w:p>
    <w:p w14:paraId="1751F665" w14:textId="39164BBA" w:rsidR="00E0716D" w:rsidRDefault="00D14DA3" w:rsidP="00BF6723">
      <w:pPr>
        <w:jc w:val="both"/>
      </w:pPr>
      <w:r>
        <w:t xml:space="preserve">[4] C. M. Vitus et al., J. Electrochem. Soc. </w:t>
      </w:r>
      <w:r w:rsidRPr="00C10821">
        <w:rPr>
          <w:b/>
          <w:bCs/>
        </w:rPr>
        <w:t>1994</w:t>
      </w:r>
      <w:r>
        <w:t xml:space="preserve">, </w:t>
      </w:r>
      <w:r w:rsidRPr="00C10821">
        <w:rPr>
          <w:i/>
          <w:iCs/>
        </w:rPr>
        <w:t>141</w:t>
      </w:r>
      <w:r>
        <w:t>, 1291</w:t>
      </w:r>
      <w:r w:rsidR="00CE1E7B">
        <w:t>.</w:t>
      </w:r>
    </w:p>
    <w:sectPr w:rsidR="00E0716D" w:rsidSect="00F976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24E66" w14:textId="77777777" w:rsidR="00824199" w:rsidRDefault="00824199" w:rsidP="00E66788">
      <w:r>
        <w:separator/>
      </w:r>
    </w:p>
  </w:endnote>
  <w:endnote w:type="continuationSeparator" w:id="0">
    <w:p w14:paraId="3CBD66E4" w14:textId="77777777" w:rsidR="00824199" w:rsidRDefault="00824199" w:rsidP="00E66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0F002" w14:textId="77777777" w:rsidR="00E66788" w:rsidRDefault="00E667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A5861" w14:textId="77777777" w:rsidR="00E66788" w:rsidRDefault="00E667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01878" w14:textId="77777777" w:rsidR="00E66788" w:rsidRDefault="00E667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D2CDA" w14:textId="77777777" w:rsidR="00824199" w:rsidRDefault="00824199" w:rsidP="00E66788">
      <w:r>
        <w:separator/>
      </w:r>
    </w:p>
  </w:footnote>
  <w:footnote w:type="continuationSeparator" w:id="0">
    <w:p w14:paraId="69B042F8" w14:textId="77777777" w:rsidR="00824199" w:rsidRDefault="00824199" w:rsidP="00E66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4753F" w14:textId="77777777" w:rsidR="00E66788" w:rsidRDefault="00E667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44F58" w14:textId="77777777" w:rsidR="00E66788" w:rsidRDefault="00E667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97C73" w14:textId="77777777" w:rsidR="00E66788" w:rsidRDefault="00E667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126F3"/>
    <w:rsid w:val="00024C80"/>
    <w:rsid w:val="00030D76"/>
    <w:rsid w:val="00041EFD"/>
    <w:rsid w:val="00054148"/>
    <w:rsid w:val="000722D7"/>
    <w:rsid w:val="000777BF"/>
    <w:rsid w:val="00086A62"/>
    <w:rsid w:val="00090257"/>
    <w:rsid w:val="000E13E2"/>
    <w:rsid w:val="000F6B4E"/>
    <w:rsid w:val="0013621A"/>
    <w:rsid w:val="00137BED"/>
    <w:rsid w:val="00161B09"/>
    <w:rsid w:val="00164CCA"/>
    <w:rsid w:val="00194B09"/>
    <w:rsid w:val="001A741A"/>
    <w:rsid w:val="002028BF"/>
    <w:rsid w:val="00262759"/>
    <w:rsid w:val="002A1E61"/>
    <w:rsid w:val="002A237D"/>
    <w:rsid w:val="002C4D1E"/>
    <w:rsid w:val="002F68D2"/>
    <w:rsid w:val="00303A02"/>
    <w:rsid w:val="00313636"/>
    <w:rsid w:val="0031475C"/>
    <w:rsid w:val="00320E74"/>
    <w:rsid w:val="003233EF"/>
    <w:rsid w:val="00325004"/>
    <w:rsid w:val="00334273"/>
    <w:rsid w:val="0037156D"/>
    <w:rsid w:val="003831F3"/>
    <w:rsid w:val="003B5F48"/>
    <w:rsid w:val="003D7E1E"/>
    <w:rsid w:val="00443166"/>
    <w:rsid w:val="0046169F"/>
    <w:rsid w:val="00487B86"/>
    <w:rsid w:val="004933A2"/>
    <w:rsid w:val="004A5FC0"/>
    <w:rsid w:val="004B1E33"/>
    <w:rsid w:val="004B44B5"/>
    <w:rsid w:val="004C7364"/>
    <w:rsid w:val="00523146"/>
    <w:rsid w:val="00536366"/>
    <w:rsid w:val="00550706"/>
    <w:rsid w:val="005844BB"/>
    <w:rsid w:val="005966E3"/>
    <w:rsid w:val="005F4D03"/>
    <w:rsid w:val="0063156C"/>
    <w:rsid w:val="00685C1A"/>
    <w:rsid w:val="006D42BC"/>
    <w:rsid w:val="006E4DBB"/>
    <w:rsid w:val="006F4720"/>
    <w:rsid w:val="00711836"/>
    <w:rsid w:val="00724CB3"/>
    <w:rsid w:val="007469D4"/>
    <w:rsid w:val="00770879"/>
    <w:rsid w:val="007A7D50"/>
    <w:rsid w:val="007E5C24"/>
    <w:rsid w:val="007E6FDA"/>
    <w:rsid w:val="00800321"/>
    <w:rsid w:val="00824199"/>
    <w:rsid w:val="00826704"/>
    <w:rsid w:val="00833B1A"/>
    <w:rsid w:val="0084220F"/>
    <w:rsid w:val="00851892"/>
    <w:rsid w:val="00852D7C"/>
    <w:rsid w:val="00884D4C"/>
    <w:rsid w:val="008A6226"/>
    <w:rsid w:val="008B4A67"/>
    <w:rsid w:val="00901C5C"/>
    <w:rsid w:val="00903E18"/>
    <w:rsid w:val="00904D84"/>
    <w:rsid w:val="009050E0"/>
    <w:rsid w:val="00950E47"/>
    <w:rsid w:val="009712FE"/>
    <w:rsid w:val="00983EC0"/>
    <w:rsid w:val="009C48E9"/>
    <w:rsid w:val="009D2D06"/>
    <w:rsid w:val="00A05382"/>
    <w:rsid w:val="00A42CE7"/>
    <w:rsid w:val="00A75FB8"/>
    <w:rsid w:val="00AA099A"/>
    <w:rsid w:val="00AD420E"/>
    <w:rsid w:val="00AE620E"/>
    <w:rsid w:val="00B235CF"/>
    <w:rsid w:val="00B35F4E"/>
    <w:rsid w:val="00B6444C"/>
    <w:rsid w:val="00B75852"/>
    <w:rsid w:val="00B830F1"/>
    <w:rsid w:val="00BB0121"/>
    <w:rsid w:val="00BC2600"/>
    <w:rsid w:val="00BF3CFA"/>
    <w:rsid w:val="00BF6723"/>
    <w:rsid w:val="00C10821"/>
    <w:rsid w:val="00C32EA2"/>
    <w:rsid w:val="00C90B6B"/>
    <w:rsid w:val="00C978E4"/>
    <w:rsid w:val="00CC544E"/>
    <w:rsid w:val="00CE1E7B"/>
    <w:rsid w:val="00CF3C31"/>
    <w:rsid w:val="00D07905"/>
    <w:rsid w:val="00D14DA3"/>
    <w:rsid w:val="00D24E9F"/>
    <w:rsid w:val="00D346E6"/>
    <w:rsid w:val="00D9583A"/>
    <w:rsid w:val="00DB1822"/>
    <w:rsid w:val="00DB20F5"/>
    <w:rsid w:val="00DB7A1E"/>
    <w:rsid w:val="00DC23FD"/>
    <w:rsid w:val="00DE35E3"/>
    <w:rsid w:val="00E00F18"/>
    <w:rsid w:val="00E0716D"/>
    <w:rsid w:val="00E20265"/>
    <w:rsid w:val="00E26C55"/>
    <w:rsid w:val="00E460C7"/>
    <w:rsid w:val="00E47271"/>
    <w:rsid w:val="00E66788"/>
    <w:rsid w:val="00EA33FD"/>
    <w:rsid w:val="00EA564C"/>
    <w:rsid w:val="00EC08E4"/>
    <w:rsid w:val="00EF14C8"/>
    <w:rsid w:val="00F60A25"/>
    <w:rsid w:val="00F7310C"/>
    <w:rsid w:val="00F97641"/>
    <w:rsid w:val="00FE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751F64C"/>
  <w14:defaultImageDpi w14:val="300"/>
  <w15:docId w15:val="{AA68A6A5-47CD-4F61-956A-5B43EF017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678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6788"/>
    <w:rPr>
      <w:snapToGrid w:val="0"/>
    </w:rPr>
  </w:style>
  <w:style w:type="paragraph" w:styleId="Footer">
    <w:name w:val="footer"/>
    <w:basedOn w:val="Normal"/>
    <w:link w:val="FooterChar"/>
    <w:uiPriority w:val="99"/>
    <w:unhideWhenUsed/>
    <w:rsid w:val="00E6678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6788"/>
    <w:rPr>
      <w:snapToGrid w:val="0"/>
    </w:rPr>
  </w:style>
  <w:style w:type="character" w:styleId="Hyperlink">
    <w:name w:val="Hyperlink"/>
    <w:basedOn w:val="DefaultParagraphFont"/>
    <w:uiPriority w:val="99"/>
    <w:unhideWhenUsed/>
    <w:rsid w:val="00A42CE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2CE7"/>
    <w:rPr>
      <w:color w:val="605E5C"/>
      <w:shd w:val="clear" w:color="auto" w:fill="E1DFDD"/>
    </w:rPr>
  </w:style>
  <w:style w:type="character" w:customStyle="1" w:styleId="apple-style-span">
    <w:name w:val="apple-style-span"/>
    <w:basedOn w:val="DefaultParagraphFont"/>
    <w:rsid w:val="00724CB3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5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C98B6-9E62-4C50-B2C0-0FF04C102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2303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Francesc Valls Mascaró</cp:lastModifiedBy>
  <cp:revision>34</cp:revision>
  <cp:lastPrinted>2013-10-21T12:07:00Z</cp:lastPrinted>
  <dcterms:created xsi:type="dcterms:W3CDTF">2026-05-29T08:25:00Z</dcterms:created>
  <dcterms:modified xsi:type="dcterms:W3CDTF">2026-06-01T13:47:00Z</dcterms:modified>
</cp:coreProperties>
</file>