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204D1" w14:textId="757D4104" w:rsidR="00325004" w:rsidRDefault="00093A54" w:rsidP="00E0716D">
      <w:pPr>
        <w:jc w:val="center"/>
        <w:rPr>
          <w:b/>
          <w:sz w:val="28"/>
        </w:rPr>
      </w:pPr>
      <w:r w:rsidRPr="00093A54">
        <w:rPr>
          <w:b/>
          <w:sz w:val="28"/>
        </w:rPr>
        <w:t>Interfacial Softening and Electrolyte Uptake in Co</w:t>
      </w:r>
      <w:r w:rsidRPr="00093A54">
        <w:rPr>
          <w:b/>
          <w:sz w:val="28"/>
          <w:vertAlign w:val="subscript"/>
        </w:rPr>
        <w:t>3</w:t>
      </w:r>
      <w:r w:rsidRPr="00093A54">
        <w:rPr>
          <w:b/>
          <w:sz w:val="28"/>
        </w:rPr>
        <w:t>O</w:t>
      </w:r>
      <w:r w:rsidRPr="00093A54">
        <w:rPr>
          <w:b/>
          <w:sz w:val="28"/>
          <w:vertAlign w:val="subscript"/>
        </w:rPr>
        <w:t>4</w:t>
      </w:r>
      <w:r w:rsidRPr="00093A54">
        <w:rPr>
          <w:b/>
          <w:sz w:val="28"/>
        </w:rPr>
        <w:t xml:space="preserve"> Oxygen Evolution Catalysts Revealed by Correlative Fast EQCM-D</w:t>
      </w:r>
      <w:r>
        <w:rPr>
          <w:b/>
          <w:sz w:val="28"/>
        </w:rPr>
        <w:t xml:space="preserve"> and </w:t>
      </w:r>
      <w:r w:rsidRPr="00093A54">
        <w:rPr>
          <w:b/>
          <w:sz w:val="28"/>
        </w:rPr>
        <w:t>Raman Spectroscopy</w:t>
      </w:r>
    </w:p>
    <w:p w14:paraId="05E4860E" w14:textId="77777777" w:rsidR="00DE41F6" w:rsidRPr="00EC1E49" w:rsidRDefault="00DE41F6" w:rsidP="00E0716D">
      <w:pPr>
        <w:jc w:val="center"/>
        <w:rPr>
          <w:b/>
          <w:sz w:val="28"/>
        </w:rPr>
      </w:pPr>
    </w:p>
    <w:p w14:paraId="3ACFB44C" w14:textId="7C50D8C6" w:rsidR="00325004" w:rsidRPr="00EC1E49" w:rsidRDefault="00EC055B" w:rsidP="00E0716D">
      <w:pPr>
        <w:jc w:val="center"/>
      </w:pPr>
      <w:r w:rsidRPr="00EC1E49">
        <w:rPr>
          <w:u w:val="single"/>
        </w:rPr>
        <w:t>C. Leppin</w:t>
      </w:r>
      <w:r w:rsidR="00325004" w:rsidRPr="00EC1E49">
        <w:t xml:space="preserve">, </w:t>
      </w:r>
      <w:r w:rsidRPr="00EC1E49">
        <w:t xml:space="preserve">C. Placke-Yan, G. Bendt, S. Hernandez, K. </w:t>
      </w:r>
      <w:proofErr w:type="spellStart"/>
      <w:r w:rsidRPr="00EC1E49">
        <w:t>Tschulik</w:t>
      </w:r>
      <w:proofErr w:type="spellEnd"/>
      <w:r w:rsidRPr="00EC1E49">
        <w:t>, S. Schulz, J. Linnemann</w:t>
      </w:r>
    </w:p>
    <w:p w14:paraId="118A96C1" w14:textId="310D01B5" w:rsidR="00EC055B" w:rsidRPr="00EC1E49" w:rsidRDefault="00EC055B" w:rsidP="00EC055B">
      <w:pPr>
        <w:jc w:val="center"/>
        <w:rPr>
          <w:i/>
        </w:rPr>
      </w:pPr>
      <w:r w:rsidRPr="00EC1E49">
        <w:rPr>
          <w:i/>
        </w:rPr>
        <w:t xml:space="preserve">Electrochemical Technology, Department of Chemistry, Paderborn University, </w:t>
      </w:r>
      <w:proofErr w:type="spellStart"/>
      <w:r w:rsidRPr="00EC1E49">
        <w:rPr>
          <w:i/>
        </w:rPr>
        <w:t>Warburger</w:t>
      </w:r>
      <w:proofErr w:type="spellEnd"/>
      <w:r w:rsidRPr="00EC1E49">
        <w:rPr>
          <w:i/>
        </w:rPr>
        <w:t xml:space="preserve"> </w:t>
      </w:r>
      <w:proofErr w:type="spellStart"/>
      <w:r w:rsidRPr="00EC1E49">
        <w:rPr>
          <w:i/>
        </w:rPr>
        <w:t>Straße</w:t>
      </w:r>
      <w:proofErr w:type="spellEnd"/>
      <w:r w:rsidRPr="00EC1E49">
        <w:rPr>
          <w:i/>
        </w:rPr>
        <w:t xml:space="preserve"> 100, D-33098 Paderborn, Germany</w:t>
      </w:r>
    </w:p>
    <w:p w14:paraId="174651FD" w14:textId="51AC1E32" w:rsidR="00685C1A" w:rsidRPr="00EC1E49" w:rsidRDefault="00EC055B" w:rsidP="00E0716D">
      <w:pPr>
        <w:jc w:val="center"/>
        <w:rPr>
          <w:i/>
        </w:rPr>
      </w:pPr>
      <w:r w:rsidRPr="00EC1E49">
        <w:rPr>
          <w:i/>
        </w:rPr>
        <w:t>christian.leppin@uni-paderborn.de</w:t>
      </w:r>
    </w:p>
    <w:p w14:paraId="7FC41CD1" w14:textId="77777777" w:rsidR="00325004" w:rsidRPr="00EC1E49" w:rsidRDefault="00325004" w:rsidP="00E0716D">
      <w:pPr>
        <w:jc w:val="center"/>
      </w:pPr>
    </w:p>
    <w:p w14:paraId="486E2A0F" w14:textId="11F9F0C7" w:rsidR="009128AA" w:rsidRPr="00EC1E49" w:rsidRDefault="00EC055B" w:rsidP="00EC055B">
      <w:pPr>
        <w:jc w:val="both"/>
      </w:pPr>
      <w:r w:rsidRPr="00EC1E49">
        <w:t xml:space="preserve">Understanding how electrocatalysts transform under operating conditions remains a central challenge in oxygen evolution reaction (OER) research. </w:t>
      </w:r>
      <w:proofErr w:type="gramStart"/>
      <w:r w:rsidRPr="00EC1E49">
        <w:t>In particular, cobalt</w:t>
      </w:r>
      <w:proofErr w:type="gramEnd"/>
      <w:r w:rsidRPr="00EC1E49">
        <w:t xml:space="preserve"> spinel (Co</w:t>
      </w:r>
      <w:r w:rsidRPr="00983106">
        <w:rPr>
          <w:vertAlign w:val="subscript"/>
        </w:rPr>
        <w:t>3</w:t>
      </w:r>
      <w:r w:rsidRPr="00EC1E49">
        <w:t>O</w:t>
      </w:r>
      <w:r w:rsidRPr="00983106">
        <w:rPr>
          <w:vertAlign w:val="subscript"/>
        </w:rPr>
        <w:t>4</w:t>
      </w:r>
      <w:r w:rsidRPr="00EC1E49">
        <w:t>) catalysts are known to undergo structural</w:t>
      </w:r>
      <w:r w:rsidR="00A94B43">
        <w:t xml:space="preserve"> and</w:t>
      </w:r>
      <w:r w:rsidR="002F186B" w:rsidRPr="00EC1E49">
        <w:t xml:space="preserve"> interfacial transformations</w:t>
      </w:r>
      <w:r w:rsidRPr="00EC1E49">
        <w:t xml:space="preserve"> under anodic polarization</w:t>
      </w:r>
      <w:r w:rsidR="00DB7CA0">
        <w:t xml:space="preserve"> in alkaline electrolytes</w:t>
      </w:r>
      <w:r w:rsidR="00945046" w:rsidRPr="00EC1E49">
        <w:t>.</w:t>
      </w:r>
      <w:r w:rsidR="00274375" w:rsidRPr="00DE41F6">
        <w:rPr>
          <w:vertAlign w:val="superscript"/>
        </w:rPr>
        <w:t>1-3</w:t>
      </w:r>
      <w:r w:rsidR="00945046" w:rsidRPr="00EC1E49">
        <w:t xml:space="preserve"> Yet it remains unclear which interfacial transformations are directly linked to the formation of OER </w:t>
      </w:r>
      <w:r w:rsidR="002F186B" w:rsidRPr="00EC1E49">
        <w:t>intermediates,</w:t>
      </w:r>
      <w:r w:rsidR="00945046" w:rsidRPr="00EC1E49">
        <w:t xml:space="preserve"> and which merely accompany catalyst oxidation.</w:t>
      </w:r>
      <w:r w:rsidRPr="00EC1E49">
        <w:t xml:space="preserve"> Resolving these processes requires operando techniques capable of probing structural, electrochemical, and </w:t>
      </w:r>
      <w:r w:rsidR="008009B5">
        <w:t>mechanical</w:t>
      </w:r>
      <w:r w:rsidR="008009B5" w:rsidRPr="00EC1E49">
        <w:t xml:space="preserve"> </w:t>
      </w:r>
      <w:r w:rsidRPr="00EC1E49">
        <w:t>changes at the catalyst–electrolyte interface</w:t>
      </w:r>
      <w:r w:rsidR="007348C9" w:rsidRPr="00EC1E49">
        <w:t xml:space="preserve"> with high temporal resolution</w:t>
      </w:r>
      <w:r w:rsidRPr="00EC1E49">
        <w:t>.</w:t>
      </w:r>
      <w:r w:rsidR="00274375" w:rsidRPr="00DE41F6">
        <w:rPr>
          <w:vertAlign w:val="superscript"/>
        </w:rPr>
        <w:t>4</w:t>
      </w:r>
      <w:r w:rsidR="00274375">
        <w:t xml:space="preserve"> </w:t>
      </w:r>
      <w:r w:rsidR="00C54393" w:rsidRPr="00C54393">
        <w:t xml:space="preserve">Direct access to the mechanical properties of the interface is particularly important, as catalyst </w:t>
      </w:r>
      <w:r w:rsidR="00A94B43">
        <w:t>materials</w:t>
      </w:r>
      <w:r w:rsidR="00C54393" w:rsidRPr="00C54393">
        <w:t xml:space="preserve"> may evolve significantly under the harsh anodic bias and strongly alkaline conditions encountered during OER</w:t>
      </w:r>
      <w:r w:rsidR="008009B5">
        <w:t>.</w:t>
      </w:r>
      <w:r w:rsidR="008009B5" w:rsidRPr="008009B5">
        <w:t xml:space="preserve"> </w:t>
      </w:r>
    </w:p>
    <w:p w14:paraId="5F0DA65B" w14:textId="2639ADD1" w:rsidR="004D20C6" w:rsidRPr="00EC1E49" w:rsidRDefault="0074090F" w:rsidP="00EC055B">
      <w:pPr>
        <w:jc w:val="both"/>
      </w:pPr>
      <w:r w:rsidRPr="0074090F">
        <w:t>Here, we combine</w:t>
      </w:r>
      <w:r w:rsidR="002551EF">
        <w:t xml:space="preserve"> a</w:t>
      </w:r>
      <w:r w:rsidRPr="0074090F">
        <w:t xml:space="preserve"> fast electrochemical quartz crystal microbalance with dissipation monitoring (EQCM-D)</w:t>
      </w:r>
      <w:r w:rsidR="00A04AB1">
        <w:t xml:space="preserve">, </w:t>
      </w:r>
      <w:r w:rsidRPr="0074090F">
        <w:t>electrochemical impedance spectroscopy (EIS), and Raman spectroscopy to investigate the evolution of Co</w:t>
      </w:r>
      <w:r w:rsidRPr="0074090F">
        <w:rPr>
          <w:vertAlign w:val="subscript"/>
        </w:rPr>
        <w:t>3</w:t>
      </w:r>
      <w:r w:rsidRPr="0074090F">
        <w:t>O</w:t>
      </w:r>
      <w:r w:rsidRPr="0074090F">
        <w:rPr>
          <w:vertAlign w:val="subscript"/>
        </w:rPr>
        <w:t>4</w:t>
      </w:r>
      <w:r w:rsidRPr="0074090F">
        <w:t xml:space="preserve"> nanoparticle electrodes in alkaline electrolyte under operando conditions. The correlative operando approach enables monitoring of interfacial charge transfer, mass uptake, mechanical properties, and catalyst structure during anodic polarization. Fast EQCM-D provides millisecond-resolved tracking of mass and mechanical compliance</w:t>
      </w:r>
      <w:r>
        <w:t xml:space="preserve"> (softness)</w:t>
      </w:r>
      <w:r w:rsidRPr="0074090F">
        <w:t xml:space="preserve"> of the catalyst interface with sub-nanogram sensitivity.</w:t>
      </w:r>
      <w:r w:rsidR="00274375" w:rsidRPr="00DE41F6">
        <w:rPr>
          <w:vertAlign w:val="superscript"/>
        </w:rPr>
        <w:t>5,6</w:t>
      </w:r>
      <w:r w:rsidRPr="0074090F">
        <w:t xml:space="preserve"> Unlike structural techniques that infer </w:t>
      </w:r>
      <w:r>
        <w:t>interfacial strain</w:t>
      </w:r>
      <w:r w:rsidR="004D20C6">
        <w:t xml:space="preserve"> indirectly via</w:t>
      </w:r>
      <w:r w:rsidRPr="0074090F">
        <w:t xml:space="preserve"> crystallographic changes, </w:t>
      </w:r>
      <w:r w:rsidR="004D20C6">
        <w:t xml:space="preserve">the </w:t>
      </w:r>
      <w:r w:rsidRPr="0074090F">
        <w:t xml:space="preserve">EQCM-D </w:t>
      </w:r>
      <w:r w:rsidR="004D20C6">
        <w:t>probes the interfacial mechanics directly by shearing the interface at different frequencies</w:t>
      </w:r>
      <w:r w:rsidRPr="0074090F">
        <w:t xml:space="preserve">, providing unique insight </w:t>
      </w:r>
      <w:r w:rsidR="00093A54" w:rsidRPr="00093A54">
        <w:t xml:space="preserve">into </w:t>
      </w:r>
      <w:r w:rsidR="00093A54">
        <w:t xml:space="preserve">changes in softness </w:t>
      </w:r>
      <w:r w:rsidR="00093A54" w:rsidRPr="00093A54">
        <w:t>of the catalyst–electrolyte interface during operation</w:t>
      </w:r>
      <w:r w:rsidRPr="0074090F">
        <w:t>.</w:t>
      </w:r>
      <w:r w:rsidR="007348C9" w:rsidRPr="00EC1E49">
        <w:t xml:space="preserve"> </w:t>
      </w:r>
    </w:p>
    <w:p w14:paraId="3C68D39B" w14:textId="4CEA8CA1" w:rsidR="004D20C6" w:rsidRPr="00EC1E49" w:rsidRDefault="00EC055B" w:rsidP="00EC055B">
      <w:pPr>
        <w:jc w:val="both"/>
      </w:pPr>
      <w:r w:rsidRPr="00EC1E49">
        <w:t xml:space="preserve">The measurements reveal two distinct transformation regimes prior to the macroscopic onset of </w:t>
      </w:r>
      <w:r w:rsidR="004D20C6">
        <w:t>OER</w:t>
      </w:r>
      <w:r w:rsidR="00864FE5" w:rsidRPr="00EC1E49">
        <w:t xml:space="preserve"> upon anodic</w:t>
      </w:r>
      <w:r w:rsidR="004D20C6">
        <w:t xml:space="preserve"> potential</w:t>
      </w:r>
      <w:r w:rsidR="00864FE5" w:rsidRPr="00EC1E49">
        <w:t xml:space="preserve"> sweep</w:t>
      </w:r>
      <w:r w:rsidR="004D20C6">
        <w:t>s</w:t>
      </w:r>
      <w:r w:rsidRPr="00EC1E49">
        <w:t xml:space="preserve">. At lower potentials, oxidation of cobalt sites is accompanied by a reversible uptake of hydroxide </w:t>
      </w:r>
      <w:r w:rsidR="007348C9" w:rsidRPr="00EC1E49">
        <w:t>and</w:t>
      </w:r>
      <w:r w:rsidRPr="00EC1E49">
        <w:t xml:space="preserve"> water species while the catalyst interface remains mechanically rigid. At higher potentials, fast EQCM-D reveals significant softening of the interface together with additional electrolyte incorporation, </w:t>
      </w:r>
      <w:r w:rsidR="009B2270" w:rsidRPr="00EC1E49">
        <w:t>indicating amorphization and swelling of a hydr</w:t>
      </w:r>
      <w:r w:rsidR="00BD6A30">
        <w:t>ous</w:t>
      </w:r>
      <w:r w:rsidR="009B2270" w:rsidRPr="00EC1E49">
        <w:t xml:space="preserve"> surface (</w:t>
      </w:r>
      <w:r w:rsidR="00EC1E49">
        <w:t>‘</w:t>
      </w:r>
      <w:r w:rsidR="009B2270" w:rsidRPr="00EC1E49">
        <w:t>skin</w:t>
      </w:r>
      <w:r w:rsidR="00EC1E49">
        <w:t>’</w:t>
      </w:r>
      <w:r w:rsidR="009B2270" w:rsidRPr="00EC1E49">
        <w:t xml:space="preserve">) layer beyond simple adsorption processes. </w:t>
      </w:r>
      <w:r w:rsidR="002F186B" w:rsidRPr="00EC1E49">
        <w:t>Operando Raman spectroscopy further reveals a decrease in Co</w:t>
      </w:r>
      <w:r w:rsidR="002F186B" w:rsidRPr="00983106">
        <w:rPr>
          <w:vertAlign w:val="subscript"/>
        </w:rPr>
        <w:t>3</w:t>
      </w:r>
      <w:r w:rsidR="002F186B" w:rsidRPr="00EC1E49">
        <w:t>O</w:t>
      </w:r>
      <w:r w:rsidR="002F186B" w:rsidRPr="00983106">
        <w:rPr>
          <w:vertAlign w:val="subscript"/>
        </w:rPr>
        <w:t>4</w:t>
      </w:r>
      <w:r w:rsidR="002F186B" w:rsidRPr="00EC1E49">
        <w:t xml:space="preserve"> vibrational band intensities, consistent with progressive amorphization of the catalyst surface</w:t>
      </w:r>
      <w:r w:rsidRPr="00EC1E49">
        <w:t>.</w:t>
      </w:r>
      <w:r w:rsidR="00274375" w:rsidRPr="00DE41F6">
        <w:rPr>
          <w:vertAlign w:val="superscript"/>
        </w:rPr>
        <w:t>7</w:t>
      </w:r>
      <w:r w:rsidR="00274375" w:rsidRPr="00EC1E49">
        <w:t xml:space="preserve"> </w:t>
      </w:r>
    </w:p>
    <w:p w14:paraId="6D9EB38C" w14:textId="3A876DDE" w:rsidR="00EC055B" w:rsidRPr="00EC1E49" w:rsidRDefault="008009B5" w:rsidP="00EC055B">
      <w:pPr>
        <w:jc w:val="both"/>
      </w:pPr>
      <w:r w:rsidRPr="008009B5">
        <w:t>Electrochemical conditioning by applying</w:t>
      </w:r>
      <w:r w:rsidR="00F97EE2">
        <w:t xml:space="preserve"> a</w:t>
      </w:r>
      <w:r w:rsidRPr="008009B5">
        <w:t xml:space="preserve"> </w:t>
      </w:r>
      <w:proofErr w:type="spellStart"/>
      <w:r w:rsidR="0052629B">
        <w:t>potentiostatic</w:t>
      </w:r>
      <w:proofErr w:type="spellEnd"/>
      <w:r w:rsidR="0052629B">
        <w:t xml:space="preserve"> hold</w:t>
      </w:r>
      <w:r w:rsidRPr="008009B5">
        <w:t xml:space="preserve"> in the OER regime for one hour suppresses the mass and </w:t>
      </w:r>
      <w:r w:rsidR="00A94B43">
        <w:t>compliance</w:t>
      </w:r>
      <w:r w:rsidRPr="008009B5">
        <w:t xml:space="preserve"> hysteresis observed during cyclic voltammetry without affecting OER activity</w:t>
      </w:r>
      <w:r>
        <w:t xml:space="preserve">. </w:t>
      </w:r>
      <w:r w:rsidR="002F186B" w:rsidRPr="00EC1E49">
        <w:t xml:space="preserve">This </w:t>
      </w:r>
      <w:r w:rsidR="00C54393">
        <w:t>indicates</w:t>
      </w:r>
      <w:r w:rsidR="002F186B" w:rsidRPr="00EC1E49">
        <w:t xml:space="preserve"> that electrolyte uptake </w:t>
      </w:r>
      <w:r w:rsidR="00EF4395">
        <w:t>in the pre-OER</w:t>
      </w:r>
      <w:r w:rsidR="00A67D8B">
        <w:t xml:space="preserve"> </w:t>
      </w:r>
      <w:r w:rsidR="00EF4395">
        <w:t xml:space="preserve">region </w:t>
      </w:r>
      <w:r w:rsidR="00A67D8B">
        <w:t>and</w:t>
      </w:r>
      <w:r w:rsidR="00C54393" w:rsidRPr="00EC1E49">
        <w:t xml:space="preserve"> </w:t>
      </w:r>
      <w:r w:rsidR="00EF4395">
        <w:t>OER activity</w:t>
      </w:r>
      <w:r w:rsidR="00A67D8B">
        <w:t xml:space="preserve"> are </w:t>
      </w:r>
      <w:r w:rsidR="00EF4395">
        <w:t xml:space="preserve">largely </w:t>
      </w:r>
      <w:r w:rsidR="00A67D8B">
        <w:t>decoupled</w:t>
      </w:r>
      <w:r w:rsidR="00EF4395">
        <w:t xml:space="preserve">, suggesting that a substantial fraction of the incorporated electrolyte species </w:t>
      </w:r>
      <w:r w:rsidR="009128AA">
        <w:t>does not</w:t>
      </w:r>
      <w:r w:rsidR="00A94B43">
        <w:t xml:space="preserve"> directly </w:t>
      </w:r>
      <w:r w:rsidR="009128AA">
        <w:t>participate</w:t>
      </w:r>
      <w:r w:rsidR="00A94B43">
        <w:t xml:space="preserve"> in</w:t>
      </w:r>
      <w:r w:rsidR="00EF4395">
        <w:t xml:space="preserve"> </w:t>
      </w:r>
      <w:r w:rsidR="00A94B43">
        <w:t xml:space="preserve">the </w:t>
      </w:r>
      <w:r w:rsidR="00EF4395">
        <w:t>OER</w:t>
      </w:r>
      <w:r w:rsidR="00A67D8B">
        <w:t>.</w:t>
      </w:r>
      <w:r w:rsidR="0010215D" w:rsidRPr="00DE41F6">
        <w:rPr>
          <w:vertAlign w:val="superscript"/>
        </w:rPr>
        <w:t>7</w:t>
      </w:r>
      <w:r w:rsidR="0010215D" w:rsidRPr="00EC1E49">
        <w:t xml:space="preserve"> </w:t>
      </w:r>
    </w:p>
    <w:p w14:paraId="7C5B0189" w14:textId="53DD6F83" w:rsidR="00EC055B" w:rsidRPr="00EC1E49" w:rsidRDefault="00EC055B" w:rsidP="00EC055B">
      <w:pPr>
        <w:jc w:val="both"/>
      </w:pPr>
      <w:r w:rsidRPr="00EC1E49">
        <w:t xml:space="preserve">These findings provide new insight into the dynamic </w:t>
      </w:r>
      <w:r w:rsidR="00864FE5" w:rsidRPr="00EC1E49">
        <w:t>transformation</w:t>
      </w:r>
      <w:r w:rsidRPr="00EC1E49">
        <w:t xml:space="preserve"> of cobalt-based OER catalysts and demonstrate </w:t>
      </w:r>
      <w:r w:rsidR="009B2270" w:rsidRPr="00EC1E49">
        <w:t>how correlative operando measurements can disentangle structural, mechanical, and electrochemical contributions during electrocatalysis.</w:t>
      </w:r>
    </w:p>
    <w:p w14:paraId="73FD934B" w14:textId="77777777" w:rsidR="00325004" w:rsidRDefault="00325004" w:rsidP="00E0716D">
      <w:pPr>
        <w:jc w:val="both"/>
      </w:pPr>
    </w:p>
    <w:p w14:paraId="25952A48" w14:textId="6B2D2364" w:rsidR="00DE41F6" w:rsidRDefault="00DE41F6" w:rsidP="00E0716D">
      <w:pPr>
        <w:jc w:val="both"/>
      </w:pPr>
      <w:r>
        <w:t>References</w:t>
      </w:r>
    </w:p>
    <w:p w14:paraId="50C64069" w14:textId="7A01A995" w:rsidR="00274375" w:rsidRPr="00F468D7" w:rsidRDefault="00274375" w:rsidP="00DE41F6">
      <w:pPr>
        <w:pStyle w:val="Literaturverzeichnis"/>
        <w:tabs>
          <w:tab w:val="clear" w:pos="260"/>
          <w:tab w:val="clear" w:pos="380"/>
          <w:tab w:val="left" w:pos="0"/>
        </w:tabs>
        <w:ind w:left="0" w:firstLine="0"/>
        <w:rPr>
          <w:snapToGrid/>
        </w:rPr>
      </w:pPr>
      <w:r>
        <w:rPr>
          <w:snapToGrid/>
        </w:rPr>
        <w:t xml:space="preserve">[1] </w:t>
      </w:r>
      <w:r w:rsidRPr="00F468D7">
        <w:rPr>
          <w:snapToGrid/>
        </w:rPr>
        <w:t>Bergmann, A.</w:t>
      </w:r>
      <w:r w:rsidR="0052629B">
        <w:rPr>
          <w:snapToGrid/>
        </w:rPr>
        <w:t xml:space="preserve"> et al.</w:t>
      </w:r>
      <w:r w:rsidRPr="00F468D7">
        <w:rPr>
          <w:snapToGrid/>
        </w:rPr>
        <w:t xml:space="preserve"> </w:t>
      </w:r>
      <w:r w:rsidRPr="00F468D7">
        <w:rPr>
          <w:i/>
          <w:iCs/>
          <w:snapToGrid/>
        </w:rPr>
        <w:t>Nat. Commun.</w:t>
      </w:r>
      <w:r w:rsidRPr="00F468D7">
        <w:rPr>
          <w:snapToGrid/>
        </w:rPr>
        <w:t xml:space="preserve"> </w:t>
      </w:r>
      <w:r w:rsidRPr="00F468D7">
        <w:rPr>
          <w:b/>
          <w:bCs/>
          <w:snapToGrid/>
        </w:rPr>
        <w:t>2015</w:t>
      </w:r>
      <w:r w:rsidRPr="00F468D7">
        <w:rPr>
          <w:snapToGrid/>
        </w:rPr>
        <w:t xml:space="preserve">, </w:t>
      </w:r>
      <w:r w:rsidRPr="00F468D7">
        <w:rPr>
          <w:i/>
          <w:iCs/>
          <w:snapToGrid/>
        </w:rPr>
        <w:t>6</w:t>
      </w:r>
      <w:r w:rsidRPr="00F468D7">
        <w:rPr>
          <w:snapToGrid/>
        </w:rPr>
        <w:t xml:space="preserve"> (1), 8625.</w:t>
      </w:r>
    </w:p>
    <w:p w14:paraId="60A1D768" w14:textId="7369F863" w:rsidR="00274375" w:rsidRPr="00F468D7" w:rsidRDefault="00274375" w:rsidP="00DE41F6">
      <w:pPr>
        <w:pStyle w:val="Literaturverzeichnis"/>
        <w:tabs>
          <w:tab w:val="clear" w:pos="260"/>
          <w:tab w:val="clear" w:pos="380"/>
          <w:tab w:val="left" w:pos="0"/>
        </w:tabs>
        <w:ind w:left="0" w:firstLine="0"/>
        <w:rPr>
          <w:snapToGrid/>
        </w:rPr>
      </w:pPr>
      <w:r>
        <w:rPr>
          <w:snapToGrid/>
        </w:rPr>
        <w:t xml:space="preserve">[2] </w:t>
      </w:r>
      <w:r w:rsidRPr="00F468D7">
        <w:rPr>
          <w:snapToGrid/>
        </w:rPr>
        <w:t>Scharf, C. H</w:t>
      </w:r>
      <w:r w:rsidR="0052629B">
        <w:rPr>
          <w:snapToGrid/>
        </w:rPr>
        <w:t>. et al.</w:t>
      </w:r>
      <w:r w:rsidRPr="00F468D7">
        <w:rPr>
          <w:snapToGrid/>
        </w:rPr>
        <w:t xml:space="preserve"> </w:t>
      </w:r>
      <w:r w:rsidRPr="00F468D7">
        <w:rPr>
          <w:i/>
          <w:iCs/>
          <w:snapToGrid/>
        </w:rPr>
        <w:t xml:space="preserve">ACS </w:t>
      </w:r>
      <w:proofErr w:type="spellStart"/>
      <w:r w:rsidRPr="00F468D7">
        <w:rPr>
          <w:i/>
          <w:iCs/>
          <w:snapToGrid/>
        </w:rPr>
        <w:t>Catal</w:t>
      </w:r>
      <w:proofErr w:type="spellEnd"/>
      <w:r w:rsidRPr="00F468D7">
        <w:rPr>
          <w:i/>
          <w:iCs/>
          <w:snapToGrid/>
        </w:rPr>
        <w:t>.</w:t>
      </w:r>
      <w:r w:rsidRPr="00F468D7">
        <w:rPr>
          <w:snapToGrid/>
        </w:rPr>
        <w:t xml:space="preserve"> </w:t>
      </w:r>
      <w:r w:rsidRPr="00F468D7">
        <w:rPr>
          <w:b/>
          <w:bCs/>
          <w:snapToGrid/>
        </w:rPr>
        <w:t>2026</w:t>
      </w:r>
      <w:r w:rsidRPr="00F468D7">
        <w:rPr>
          <w:snapToGrid/>
        </w:rPr>
        <w:t xml:space="preserve">, </w:t>
      </w:r>
      <w:r w:rsidRPr="00F468D7">
        <w:rPr>
          <w:i/>
          <w:iCs/>
          <w:snapToGrid/>
        </w:rPr>
        <w:t>16</w:t>
      </w:r>
      <w:r w:rsidRPr="00F468D7">
        <w:rPr>
          <w:snapToGrid/>
        </w:rPr>
        <w:t xml:space="preserve"> (5), 4877–4891.</w:t>
      </w:r>
    </w:p>
    <w:p w14:paraId="3BD193C3" w14:textId="4ADDFB60" w:rsidR="00274375" w:rsidRPr="00F468D7" w:rsidRDefault="00274375" w:rsidP="00DE41F6">
      <w:pPr>
        <w:pStyle w:val="Literaturverzeichnis"/>
        <w:tabs>
          <w:tab w:val="clear" w:pos="260"/>
          <w:tab w:val="clear" w:pos="380"/>
          <w:tab w:val="left" w:pos="0"/>
        </w:tabs>
        <w:ind w:left="0" w:firstLine="0"/>
        <w:rPr>
          <w:snapToGrid/>
        </w:rPr>
      </w:pPr>
      <w:r>
        <w:rPr>
          <w:snapToGrid/>
        </w:rPr>
        <w:t xml:space="preserve">[3] </w:t>
      </w:r>
      <w:proofErr w:type="spellStart"/>
      <w:r w:rsidRPr="00F468D7">
        <w:rPr>
          <w:snapToGrid/>
        </w:rPr>
        <w:t>Kampermann</w:t>
      </w:r>
      <w:proofErr w:type="spellEnd"/>
      <w:r w:rsidRPr="00F468D7">
        <w:rPr>
          <w:snapToGrid/>
        </w:rPr>
        <w:t>, L.</w:t>
      </w:r>
      <w:r w:rsidR="0052629B">
        <w:rPr>
          <w:snapToGrid/>
        </w:rPr>
        <w:t xml:space="preserve"> et al.</w:t>
      </w:r>
      <w:r w:rsidRPr="00F468D7">
        <w:rPr>
          <w:snapToGrid/>
        </w:rPr>
        <w:t xml:space="preserve"> </w:t>
      </w:r>
      <w:r w:rsidRPr="00F468D7">
        <w:rPr>
          <w:i/>
          <w:iCs/>
          <w:snapToGrid/>
        </w:rPr>
        <w:t xml:space="preserve">ACS </w:t>
      </w:r>
      <w:proofErr w:type="spellStart"/>
      <w:r w:rsidRPr="00F468D7">
        <w:rPr>
          <w:i/>
          <w:iCs/>
          <w:snapToGrid/>
        </w:rPr>
        <w:t>Catal</w:t>
      </w:r>
      <w:proofErr w:type="spellEnd"/>
      <w:r w:rsidRPr="00F468D7">
        <w:rPr>
          <w:i/>
          <w:iCs/>
          <w:snapToGrid/>
        </w:rPr>
        <w:t>.</w:t>
      </w:r>
      <w:r w:rsidRPr="00F468D7">
        <w:rPr>
          <w:snapToGrid/>
        </w:rPr>
        <w:t xml:space="preserve"> </w:t>
      </w:r>
      <w:r w:rsidRPr="00F468D7">
        <w:rPr>
          <w:b/>
          <w:bCs/>
          <w:snapToGrid/>
        </w:rPr>
        <w:t>2025</w:t>
      </w:r>
      <w:r w:rsidRPr="00F468D7">
        <w:rPr>
          <w:snapToGrid/>
        </w:rPr>
        <w:t xml:space="preserve">, </w:t>
      </w:r>
      <w:r w:rsidRPr="00F468D7">
        <w:rPr>
          <w:i/>
          <w:iCs/>
          <w:snapToGrid/>
        </w:rPr>
        <w:t>15</w:t>
      </w:r>
      <w:r w:rsidRPr="00F468D7">
        <w:rPr>
          <w:snapToGrid/>
        </w:rPr>
        <w:t xml:space="preserve"> (21), 18391–18403.</w:t>
      </w:r>
    </w:p>
    <w:p w14:paraId="721E77A7" w14:textId="05CD59C8" w:rsidR="00274375" w:rsidRPr="00F468D7" w:rsidRDefault="00274375" w:rsidP="00DE41F6">
      <w:pPr>
        <w:pStyle w:val="Literaturverzeichnis"/>
        <w:tabs>
          <w:tab w:val="clear" w:pos="260"/>
          <w:tab w:val="clear" w:pos="380"/>
          <w:tab w:val="left" w:pos="0"/>
        </w:tabs>
        <w:ind w:left="0" w:firstLine="0"/>
        <w:rPr>
          <w:snapToGrid/>
        </w:rPr>
      </w:pPr>
      <w:r>
        <w:rPr>
          <w:snapToGrid/>
        </w:rPr>
        <w:t xml:space="preserve">[4] </w:t>
      </w:r>
      <w:r w:rsidRPr="00F468D7">
        <w:rPr>
          <w:snapToGrid/>
        </w:rPr>
        <w:t>Linnemann, J</w:t>
      </w:r>
      <w:r w:rsidR="0052629B">
        <w:rPr>
          <w:snapToGrid/>
        </w:rPr>
        <w:t xml:space="preserve">. et al. </w:t>
      </w:r>
      <w:r w:rsidRPr="00F468D7">
        <w:rPr>
          <w:i/>
          <w:iCs/>
          <w:snapToGrid/>
        </w:rPr>
        <w:t xml:space="preserve">ACS </w:t>
      </w:r>
      <w:proofErr w:type="spellStart"/>
      <w:r w:rsidRPr="00F468D7">
        <w:rPr>
          <w:i/>
          <w:iCs/>
          <w:snapToGrid/>
        </w:rPr>
        <w:t>Catal</w:t>
      </w:r>
      <w:proofErr w:type="spellEnd"/>
      <w:r w:rsidRPr="00F468D7">
        <w:rPr>
          <w:i/>
          <w:iCs/>
          <w:snapToGrid/>
        </w:rPr>
        <w:t>.</w:t>
      </w:r>
      <w:r w:rsidRPr="00F468D7">
        <w:rPr>
          <w:snapToGrid/>
        </w:rPr>
        <w:t xml:space="preserve"> </w:t>
      </w:r>
      <w:r w:rsidRPr="00F468D7">
        <w:rPr>
          <w:b/>
          <w:bCs/>
          <w:snapToGrid/>
        </w:rPr>
        <w:t>2021</w:t>
      </w:r>
      <w:r w:rsidRPr="00F468D7">
        <w:rPr>
          <w:snapToGrid/>
        </w:rPr>
        <w:t xml:space="preserve">, </w:t>
      </w:r>
      <w:r w:rsidRPr="00F468D7">
        <w:rPr>
          <w:i/>
          <w:iCs/>
          <w:snapToGrid/>
        </w:rPr>
        <w:t>11</w:t>
      </w:r>
      <w:r w:rsidRPr="00F468D7">
        <w:rPr>
          <w:snapToGrid/>
        </w:rPr>
        <w:t xml:space="preserve"> (9), 5318–5346.</w:t>
      </w:r>
    </w:p>
    <w:p w14:paraId="15E13D61" w14:textId="090FDE66" w:rsidR="00274375" w:rsidRPr="00F468D7" w:rsidRDefault="00274375" w:rsidP="00DE41F6">
      <w:pPr>
        <w:pStyle w:val="Literaturverzeichnis"/>
        <w:tabs>
          <w:tab w:val="clear" w:pos="260"/>
          <w:tab w:val="clear" w:pos="380"/>
          <w:tab w:val="left" w:pos="0"/>
        </w:tabs>
        <w:ind w:left="0" w:firstLine="0"/>
        <w:rPr>
          <w:snapToGrid/>
        </w:rPr>
      </w:pPr>
      <w:r>
        <w:rPr>
          <w:snapToGrid/>
        </w:rPr>
        <w:t xml:space="preserve">[5] </w:t>
      </w:r>
      <w:r w:rsidRPr="00F468D7">
        <w:rPr>
          <w:snapToGrid/>
        </w:rPr>
        <w:t>Leppin, C</w:t>
      </w:r>
      <w:r w:rsidR="0052629B">
        <w:rPr>
          <w:snapToGrid/>
        </w:rPr>
        <w:t xml:space="preserve">. et al. </w:t>
      </w:r>
      <w:r w:rsidRPr="00F468D7">
        <w:rPr>
          <w:i/>
          <w:iCs/>
          <w:snapToGrid/>
        </w:rPr>
        <w:t>Analyst</w:t>
      </w:r>
      <w:r w:rsidRPr="00F468D7">
        <w:rPr>
          <w:snapToGrid/>
        </w:rPr>
        <w:t xml:space="preserve"> </w:t>
      </w:r>
      <w:r w:rsidRPr="00F468D7">
        <w:rPr>
          <w:b/>
          <w:bCs/>
          <w:snapToGrid/>
        </w:rPr>
        <w:t>2021</w:t>
      </w:r>
      <w:r w:rsidRPr="00F468D7">
        <w:rPr>
          <w:snapToGrid/>
        </w:rPr>
        <w:t xml:space="preserve">, </w:t>
      </w:r>
      <w:r w:rsidRPr="00F468D7">
        <w:rPr>
          <w:i/>
          <w:iCs/>
          <w:snapToGrid/>
        </w:rPr>
        <w:t>146</w:t>
      </w:r>
      <w:r w:rsidRPr="00F468D7">
        <w:rPr>
          <w:snapToGrid/>
        </w:rPr>
        <w:t xml:space="preserve"> (7), 2160–2171.</w:t>
      </w:r>
    </w:p>
    <w:p w14:paraId="7CFC6184" w14:textId="6918AA20" w:rsidR="00274375" w:rsidRPr="00DB7CA0" w:rsidRDefault="00274375" w:rsidP="00DE41F6">
      <w:pPr>
        <w:pStyle w:val="Literaturverzeichnis"/>
        <w:tabs>
          <w:tab w:val="clear" w:pos="260"/>
          <w:tab w:val="clear" w:pos="380"/>
          <w:tab w:val="left" w:pos="0"/>
        </w:tabs>
        <w:ind w:left="0" w:firstLine="0"/>
        <w:rPr>
          <w:snapToGrid/>
          <w:lang w:val="de-DE"/>
        </w:rPr>
      </w:pPr>
      <w:r>
        <w:rPr>
          <w:snapToGrid/>
          <w:lang w:val="de-DE"/>
        </w:rPr>
        <w:t xml:space="preserve">[6] </w:t>
      </w:r>
      <w:r w:rsidRPr="00DB7CA0">
        <w:rPr>
          <w:snapToGrid/>
          <w:lang w:val="de-DE"/>
        </w:rPr>
        <w:t>Leppin, C.</w:t>
      </w:r>
      <w:r w:rsidR="0052629B">
        <w:rPr>
          <w:snapToGrid/>
          <w:lang w:val="de-DE"/>
        </w:rPr>
        <w:t xml:space="preserve"> et al. </w:t>
      </w:r>
      <w:r w:rsidRPr="00DB7CA0">
        <w:rPr>
          <w:i/>
          <w:iCs/>
          <w:snapToGrid/>
          <w:lang w:val="de-DE"/>
        </w:rPr>
        <w:t>Anal. Chem.</w:t>
      </w:r>
      <w:r w:rsidRPr="00DB7CA0">
        <w:rPr>
          <w:snapToGrid/>
          <w:lang w:val="de-DE"/>
        </w:rPr>
        <w:t xml:space="preserve"> </w:t>
      </w:r>
      <w:r w:rsidRPr="00DB7CA0">
        <w:rPr>
          <w:b/>
          <w:bCs/>
          <w:snapToGrid/>
          <w:lang w:val="de-DE"/>
        </w:rPr>
        <w:t>2022</w:t>
      </w:r>
      <w:r w:rsidRPr="00DB7CA0">
        <w:rPr>
          <w:snapToGrid/>
          <w:lang w:val="de-DE"/>
        </w:rPr>
        <w:t xml:space="preserve">, </w:t>
      </w:r>
      <w:r w:rsidRPr="00DB7CA0">
        <w:rPr>
          <w:i/>
          <w:iCs/>
          <w:snapToGrid/>
          <w:lang w:val="de-DE"/>
        </w:rPr>
        <w:t>94</w:t>
      </w:r>
      <w:r w:rsidRPr="00DB7CA0">
        <w:rPr>
          <w:snapToGrid/>
          <w:lang w:val="de-DE"/>
        </w:rPr>
        <w:t xml:space="preserve"> (28), 10227–10233.</w:t>
      </w:r>
    </w:p>
    <w:p w14:paraId="7935F664" w14:textId="6989D48F" w:rsidR="00274375" w:rsidRPr="00DB7CA0" w:rsidRDefault="00274375" w:rsidP="00DE41F6">
      <w:pPr>
        <w:pStyle w:val="Literaturverzeichnis"/>
        <w:tabs>
          <w:tab w:val="clear" w:pos="260"/>
          <w:tab w:val="clear" w:pos="380"/>
          <w:tab w:val="left" w:pos="0"/>
        </w:tabs>
        <w:ind w:left="0" w:firstLine="0"/>
        <w:rPr>
          <w:snapToGrid/>
          <w:lang w:val="de-DE"/>
        </w:rPr>
      </w:pPr>
      <w:r>
        <w:rPr>
          <w:snapToGrid/>
          <w:lang w:val="de-DE"/>
        </w:rPr>
        <w:t xml:space="preserve">[7] </w:t>
      </w:r>
      <w:r w:rsidRPr="00DB7CA0">
        <w:rPr>
          <w:snapToGrid/>
          <w:lang w:val="de-DE"/>
        </w:rPr>
        <w:t>Leppin, C</w:t>
      </w:r>
      <w:r w:rsidR="0052629B">
        <w:rPr>
          <w:snapToGrid/>
          <w:lang w:val="de-DE"/>
        </w:rPr>
        <w:t>. et al.</w:t>
      </w:r>
      <w:r w:rsidRPr="00DB7CA0">
        <w:rPr>
          <w:snapToGrid/>
          <w:lang w:val="de-DE"/>
        </w:rPr>
        <w:t xml:space="preserve"> </w:t>
      </w:r>
      <w:proofErr w:type="spellStart"/>
      <w:r w:rsidRPr="00DB7CA0">
        <w:rPr>
          <w:i/>
          <w:iCs/>
          <w:snapToGrid/>
          <w:lang w:val="de-DE"/>
        </w:rPr>
        <w:t>ChemCatChem</w:t>
      </w:r>
      <w:proofErr w:type="spellEnd"/>
      <w:r w:rsidRPr="00DB7CA0">
        <w:rPr>
          <w:snapToGrid/>
          <w:lang w:val="de-DE"/>
        </w:rPr>
        <w:t xml:space="preserve"> </w:t>
      </w:r>
      <w:r w:rsidRPr="00DB7CA0">
        <w:rPr>
          <w:b/>
          <w:bCs/>
          <w:snapToGrid/>
          <w:lang w:val="de-DE"/>
        </w:rPr>
        <w:t>2026</w:t>
      </w:r>
      <w:r w:rsidRPr="00DB7CA0">
        <w:rPr>
          <w:snapToGrid/>
          <w:lang w:val="de-DE"/>
        </w:rPr>
        <w:t xml:space="preserve">, </w:t>
      </w:r>
      <w:r w:rsidRPr="00DB7CA0">
        <w:rPr>
          <w:i/>
          <w:iCs/>
          <w:snapToGrid/>
          <w:lang w:val="de-DE"/>
        </w:rPr>
        <w:t>18</w:t>
      </w:r>
      <w:r w:rsidRPr="00DB7CA0">
        <w:rPr>
          <w:snapToGrid/>
          <w:lang w:val="de-DE"/>
        </w:rPr>
        <w:t xml:space="preserve"> (2).</w:t>
      </w:r>
    </w:p>
    <w:p w14:paraId="0D1BA024" w14:textId="75415815" w:rsidR="00E0716D" w:rsidRPr="00EC1E49" w:rsidRDefault="00E0716D" w:rsidP="00DE41F6">
      <w:pPr>
        <w:pStyle w:val="Literaturverzeichnis"/>
        <w:ind w:left="0" w:firstLine="0"/>
      </w:pPr>
    </w:p>
    <w:sectPr w:rsidR="00E0716D" w:rsidRPr="00EC1E49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14EF5"/>
    <w:rsid w:val="00041EFD"/>
    <w:rsid w:val="00093A54"/>
    <w:rsid w:val="0010215D"/>
    <w:rsid w:val="00132784"/>
    <w:rsid w:val="0019434B"/>
    <w:rsid w:val="002551EF"/>
    <w:rsid w:val="00274375"/>
    <w:rsid w:val="002822F4"/>
    <w:rsid w:val="002F186B"/>
    <w:rsid w:val="00325004"/>
    <w:rsid w:val="003B09E9"/>
    <w:rsid w:val="004D20C6"/>
    <w:rsid w:val="00512ADC"/>
    <w:rsid w:val="0052629B"/>
    <w:rsid w:val="00536366"/>
    <w:rsid w:val="005C06B0"/>
    <w:rsid w:val="00682AFF"/>
    <w:rsid w:val="00685C1A"/>
    <w:rsid w:val="0069710B"/>
    <w:rsid w:val="006C3C82"/>
    <w:rsid w:val="00705143"/>
    <w:rsid w:val="007348C9"/>
    <w:rsid w:val="0074090F"/>
    <w:rsid w:val="008009B5"/>
    <w:rsid w:val="00826D43"/>
    <w:rsid w:val="00846D11"/>
    <w:rsid w:val="00864FE5"/>
    <w:rsid w:val="008A156C"/>
    <w:rsid w:val="009128AA"/>
    <w:rsid w:val="00935CE4"/>
    <w:rsid w:val="00945046"/>
    <w:rsid w:val="00983106"/>
    <w:rsid w:val="009B2270"/>
    <w:rsid w:val="00A04AB1"/>
    <w:rsid w:val="00A67D8B"/>
    <w:rsid w:val="00A94B43"/>
    <w:rsid w:val="00AD6929"/>
    <w:rsid w:val="00BD6A30"/>
    <w:rsid w:val="00C54393"/>
    <w:rsid w:val="00CF5E69"/>
    <w:rsid w:val="00DB7CA0"/>
    <w:rsid w:val="00DE41F6"/>
    <w:rsid w:val="00DF3A56"/>
    <w:rsid w:val="00E0716D"/>
    <w:rsid w:val="00EC055B"/>
    <w:rsid w:val="00EC1E49"/>
    <w:rsid w:val="00EF4395"/>
    <w:rsid w:val="00F72288"/>
    <w:rsid w:val="00F97641"/>
    <w:rsid w:val="00F9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FE0429C"/>
  <w14:defaultImageDpi w14:val="300"/>
  <w15:docId w15:val="{55D7495A-20A3-DC46-93D1-7EFCC1CA9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0716D"/>
    <w:pPr>
      <w:widowControl w:val="0"/>
    </w:pPr>
    <w:rPr>
      <w:snapToGrid w:val="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teraturverzeichnis">
    <w:name w:val="Bibliography"/>
    <w:basedOn w:val="Standard"/>
    <w:next w:val="Standard"/>
    <w:uiPriority w:val="37"/>
    <w:unhideWhenUsed/>
    <w:rsid w:val="006C3C82"/>
    <w:pPr>
      <w:tabs>
        <w:tab w:val="left" w:pos="260"/>
        <w:tab w:val="left" w:pos="380"/>
      </w:tabs>
      <w:ind w:left="384" w:hanging="384"/>
    </w:pPr>
  </w:style>
  <w:style w:type="paragraph" w:customStyle="1" w:styleId="p1">
    <w:name w:val="p1"/>
    <w:basedOn w:val="Standard"/>
    <w:rsid w:val="0074090F"/>
    <w:pPr>
      <w:widowControl/>
    </w:pPr>
    <w:rPr>
      <w:snapToGrid/>
      <w:color w:val="000000"/>
      <w:sz w:val="15"/>
      <w:szCs w:val="15"/>
      <w:lang w:val="de-DE" w:eastAsia="de-DE"/>
    </w:rPr>
  </w:style>
  <w:style w:type="character" w:customStyle="1" w:styleId="s1">
    <w:name w:val="s1"/>
    <w:basedOn w:val="Absatz-Standardschriftart"/>
    <w:rsid w:val="0074090F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Absatz-Standardschriftart"/>
    <w:rsid w:val="0074090F"/>
    <w:rPr>
      <w:rFonts w:ascii="Helvetica" w:hAnsi="Helvetica" w:hint="default"/>
      <w:sz w:val="10"/>
      <w:szCs w:val="10"/>
    </w:rPr>
  </w:style>
  <w:style w:type="character" w:customStyle="1" w:styleId="s3">
    <w:name w:val="s3"/>
    <w:basedOn w:val="Absatz-Standardschriftart"/>
    <w:rsid w:val="0074090F"/>
    <w:rPr>
      <w:rFonts w:ascii="Times New Roman" w:hAnsi="Times New Roman" w:cs="Times New Roman" w:hint="default"/>
      <w:sz w:val="10"/>
      <w:szCs w:val="1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46D1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46D11"/>
  </w:style>
  <w:style w:type="character" w:customStyle="1" w:styleId="KommentartextZchn">
    <w:name w:val="Kommentartext Zchn"/>
    <w:basedOn w:val="Absatz-Standardschriftart"/>
    <w:link w:val="Kommentartext"/>
    <w:uiPriority w:val="99"/>
    <w:rsid w:val="00846D11"/>
    <w:rPr>
      <w:snapToGrid w:val="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46D1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46D11"/>
    <w:rPr>
      <w:b/>
      <w:bCs/>
      <w:snapToGrid w:val="0"/>
    </w:rPr>
  </w:style>
  <w:style w:type="paragraph" w:styleId="berarbeitung">
    <w:name w:val="Revision"/>
    <w:hidden/>
    <w:uiPriority w:val="99"/>
    <w:semiHidden/>
    <w:rsid w:val="00014EF5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7261447-D79A-614C-B353-536E16C48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538</Words>
  <Characters>3477</Characters>
  <Application>Microsoft Office Word</Application>
  <DocSecurity>0</DocSecurity>
  <Lines>316</Lines>
  <Paragraphs>167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C L</cp:lastModifiedBy>
  <cp:revision>2</cp:revision>
  <cp:lastPrinted>2026-06-01T17:16:00Z</cp:lastPrinted>
  <dcterms:created xsi:type="dcterms:W3CDTF">2026-06-01T21:35:00Z</dcterms:created>
  <dcterms:modified xsi:type="dcterms:W3CDTF">2026-06-01T21:35:00Z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zotero-version="9.0.3"&gt;&lt;session id="12F5JV4c"/&gt;&lt;style id="http://www.zotero.org/styles/acs-no-article-titles-no-doi" hasBibliography="1" bibliographyStyleHasBeenSet="1"/&gt;&lt;prefs&gt;&lt;pref name="fieldType" value="Field"/&gt;&lt;pref name="autom</vt:lpwstr>
  </property>
  <property fmtid="{D5CDD505-2E9C-101B-9397-08002B2CF9AE}" pid="3" name="ZOTERO_PREF_2">
    <vt:lpwstr>aticJournalAbbreviations" value="true"/&gt;&lt;/prefs&gt;&lt;/data&gt;</vt:lpwstr>
  </property>
</Properties>
</file>