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656723" w14:textId="78B95E5F" w:rsidR="00325004" w:rsidRPr="005F7AC7" w:rsidRDefault="005F7AC7" w:rsidP="00E0716D">
      <w:pPr>
        <w:jc w:val="center"/>
        <w:rPr>
          <w:b/>
          <w:sz w:val="28"/>
        </w:rPr>
      </w:pPr>
      <w:r w:rsidRPr="005F7AC7">
        <w:rPr>
          <w:b/>
          <w:sz w:val="28"/>
        </w:rPr>
        <w:t xml:space="preserve">Electrochemical Near Ambient Pressure XPS </w:t>
      </w:r>
      <w:r w:rsidR="00BF3FD6">
        <w:rPr>
          <w:b/>
          <w:sz w:val="28"/>
        </w:rPr>
        <w:t>and its connection to the absolute electrode potential</w:t>
      </w:r>
    </w:p>
    <w:p w14:paraId="493273E5" w14:textId="77777777" w:rsidR="00325004" w:rsidRPr="005F7AC7" w:rsidRDefault="00325004" w:rsidP="00E0716D">
      <w:pPr>
        <w:jc w:val="center"/>
        <w:rPr>
          <w:b/>
          <w:sz w:val="28"/>
        </w:rPr>
      </w:pPr>
    </w:p>
    <w:p w14:paraId="2F94EB4A" w14:textId="69C4F575" w:rsidR="00325004" w:rsidRPr="00E60117" w:rsidRDefault="005F7AC7" w:rsidP="00E0716D">
      <w:pPr>
        <w:jc w:val="center"/>
        <w:rPr>
          <w:lang w:val="de-AT"/>
        </w:rPr>
      </w:pPr>
      <w:r w:rsidRPr="00E60117">
        <w:rPr>
          <w:u w:val="single"/>
          <w:lang w:val="de-AT"/>
        </w:rPr>
        <w:t xml:space="preserve">Christoph </w:t>
      </w:r>
      <w:proofErr w:type="spellStart"/>
      <w:r w:rsidRPr="00E60117">
        <w:rPr>
          <w:u w:val="single"/>
          <w:lang w:val="de-AT"/>
        </w:rPr>
        <w:t>Griesser</w:t>
      </w:r>
      <w:r w:rsidR="00325004" w:rsidRPr="00E60117">
        <w:rPr>
          <w:lang w:val="de-AT"/>
        </w:rPr>
        <w:t>,</w:t>
      </w:r>
      <w:proofErr w:type="spellEnd"/>
      <w:r w:rsidR="00BC331F">
        <w:rPr>
          <w:lang w:val="de-AT"/>
        </w:rPr>
        <w:t xml:space="preserve"> </w:t>
      </w:r>
      <w:r w:rsidRPr="00E60117">
        <w:rPr>
          <w:lang w:val="de-AT"/>
        </w:rPr>
        <w:t>Francesc</w:t>
      </w:r>
      <w:r w:rsidR="00BC331F">
        <w:rPr>
          <w:lang w:val="de-AT"/>
        </w:rPr>
        <w:t xml:space="preserve"> Valls</w:t>
      </w:r>
      <w:r w:rsidR="0092679C">
        <w:rPr>
          <w:lang w:val="de-AT"/>
        </w:rPr>
        <w:t xml:space="preserve"> </w:t>
      </w:r>
      <w:proofErr w:type="spellStart"/>
      <w:r w:rsidR="00BC331F">
        <w:rPr>
          <w:lang w:val="de-AT"/>
        </w:rPr>
        <w:t>Mascar</w:t>
      </w:r>
      <w:r w:rsidR="00D92EC5">
        <w:rPr>
          <w:lang w:val="de-AT"/>
        </w:rPr>
        <w:t>ó</w:t>
      </w:r>
      <w:proofErr w:type="spellEnd"/>
      <w:r w:rsidRPr="00E60117">
        <w:rPr>
          <w:lang w:val="de-AT"/>
        </w:rPr>
        <w:t>,</w:t>
      </w:r>
      <w:r w:rsidR="00BF3FD6">
        <w:rPr>
          <w:lang w:val="de-AT"/>
        </w:rPr>
        <w:t xml:space="preserve"> Sebastian Liebl, Engelbert Portenkirchner</w:t>
      </w:r>
      <w:r w:rsidR="006168B9">
        <w:rPr>
          <w:lang w:val="de-AT"/>
        </w:rPr>
        <w:t>,</w:t>
      </w:r>
      <w:r w:rsidRPr="00E60117">
        <w:rPr>
          <w:lang w:val="de-AT"/>
        </w:rPr>
        <w:t xml:space="preserve"> Julia</w:t>
      </w:r>
      <w:r w:rsidR="00E57156">
        <w:rPr>
          <w:lang w:val="de-AT"/>
        </w:rPr>
        <w:t> </w:t>
      </w:r>
      <w:r w:rsidRPr="00E60117">
        <w:rPr>
          <w:lang w:val="de-AT"/>
        </w:rPr>
        <w:t>Kunze</w:t>
      </w:r>
      <w:r w:rsidR="00BF3FD6">
        <w:rPr>
          <w:lang w:val="de-AT"/>
        </w:rPr>
        <w:noBreakHyphen/>
      </w:r>
      <w:r w:rsidRPr="00E60117">
        <w:rPr>
          <w:lang w:val="de-AT"/>
        </w:rPr>
        <w:t>Liebhäuser</w:t>
      </w:r>
    </w:p>
    <w:p w14:paraId="7F133A37" w14:textId="77777777" w:rsidR="00325004" w:rsidRPr="005F7AC7" w:rsidRDefault="005F7AC7" w:rsidP="00E0716D">
      <w:pPr>
        <w:jc w:val="center"/>
        <w:rPr>
          <w:i/>
        </w:rPr>
      </w:pPr>
      <w:r w:rsidRPr="005F7AC7">
        <w:rPr>
          <w:i/>
        </w:rPr>
        <w:t>Department of Physical Chemistry, University of Innsbruck</w:t>
      </w:r>
    </w:p>
    <w:p w14:paraId="1FAD42FF" w14:textId="77777777" w:rsidR="00325004" w:rsidRPr="005F7AC7" w:rsidRDefault="005F7AC7" w:rsidP="00E0716D">
      <w:pPr>
        <w:jc w:val="center"/>
        <w:rPr>
          <w:lang w:val="de-AT"/>
        </w:rPr>
      </w:pPr>
      <w:proofErr w:type="spellStart"/>
      <w:r w:rsidRPr="005F7AC7">
        <w:rPr>
          <w:i/>
          <w:lang w:val="de-AT"/>
        </w:rPr>
        <w:t>Innrain</w:t>
      </w:r>
      <w:proofErr w:type="spellEnd"/>
      <w:r w:rsidRPr="005F7AC7">
        <w:rPr>
          <w:i/>
          <w:lang w:val="de-AT"/>
        </w:rPr>
        <w:t xml:space="preserve"> 52 c, Innsbruck Austria</w:t>
      </w:r>
    </w:p>
    <w:p w14:paraId="54F00395" w14:textId="77777777" w:rsidR="00685C1A" w:rsidRPr="004759C6" w:rsidRDefault="005F7AC7" w:rsidP="00E0716D">
      <w:pPr>
        <w:jc w:val="center"/>
        <w:rPr>
          <w:i/>
          <w:lang w:val="de-AT"/>
        </w:rPr>
      </w:pPr>
      <w:r w:rsidRPr="004759C6">
        <w:rPr>
          <w:i/>
          <w:lang w:val="de-AT"/>
        </w:rPr>
        <w:t>christoph.griesser@uibk.ac.at</w:t>
      </w:r>
    </w:p>
    <w:p w14:paraId="16C647E5" w14:textId="77777777" w:rsidR="00325004" w:rsidRPr="004759C6" w:rsidRDefault="00325004" w:rsidP="00E0716D">
      <w:pPr>
        <w:jc w:val="center"/>
        <w:rPr>
          <w:lang w:val="de-AT"/>
        </w:rPr>
      </w:pPr>
      <w:bookmarkStart w:id="0" w:name="_GoBack"/>
      <w:bookmarkEnd w:id="0"/>
    </w:p>
    <w:p w14:paraId="322DED54" w14:textId="08A36139" w:rsidR="00CA6374" w:rsidRDefault="0002304C" w:rsidP="00091D31">
      <w:pPr>
        <w:spacing w:after="120"/>
        <w:jc w:val="both"/>
      </w:pPr>
      <w:r>
        <w:t>Since the 1980</w:t>
      </w:r>
      <w:proofErr w:type="gramStart"/>
      <w:r>
        <w:t>s,</w:t>
      </w:r>
      <w:r w:rsidRPr="0002304C">
        <w:rPr>
          <w:vertAlign w:val="superscript"/>
        </w:rPr>
        <w:t>[</w:t>
      </w:r>
      <w:proofErr w:type="gramEnd"/>
      <w:r w:rsidRPr="0002304C">
        <w:rPr>
          <w:vertAlign w:val="superscript"/>
        </w:rPr>
        <w:t xml:space="preserve">1] </w:t>
      </w:r>
      <w:r>
        <w:t xml:space="preserve">several ultrahigh-vacuum-based techniques have been adapted to investigate electrochemical </w:t>
      </w:r>
      <w:r w:rsidRPr="004759C6">
        <w:t xml:space="preserve">processes, including X-ray photoelectron spectroscopy (XPS) </w:t>
      </w:r>
      <w:r w:rsidR="000C2B38">
        <w:t>where</w:t>
      </w:r>
      <w:r w:rsidR="000C2B38" w:rsidRPr="004759C6">
        <w:t xml:space="preserve"> </w:t>
      </w:r>
      <w:r w:rsidRPr="006373A5">
        <w:rPr>
          <w:i/>
          <w:iCs/>
        </w:rPr>
        <w:t>in situ</w:t>
      </w:r>
      <w:r w:rsidRPr="004759C6">
        <w:t xml:space="preserve"> </w:t>
      </w:r>
      <w:r w:rsidR="000C2B38">
        <w:t xml:space="preserve">operation enables to track the (redox) chemistry of the solid/liquid interface during </w:t>
      </w:r>
      <w:r w:rsidR="00FD3248">
        <w:t>polarization</w:t>
      </w:r>
      <w:r>
        <w:t xml:space="preserve">. Progress in near-ambient-pressure XPS, particularly through differential pumping and electrostatic lens systems, enabled the first electrochemical XPS (EC-XPS) experiments roughly a decade </w:t>
      </w:r>
      <w:proofErr w:type="gramStart"/>
      <w:r>
        <w:t>ago.</w:t>
      </w:r>
      <w:r w:rsidRPr="0002304C">
        <w:rPr>
          <w:vertAlign w:val="superscript"/>
        </w:rPr>
        <w:t>[</w:t>
      </w:r>
      <w:proofErr w:type="gramEnd"/>
      <w:r w:rsidRPr="0002304C">
        <w:rPr>
          <w:vertAlign w:val="superscript"/>
        </w:rPr>
        <w:t xml:space="preserve">2] </w:t>
      </w:r>
      <w:r>
        <w:t xml:space="preserve">Today, a number of EC-XPS setups, mainly located at synchrotron facilities, make it possible to probe electrified interfaces under operating conditions. </w:t>
      </w:r>
      <w:r w:rsidR="00091D31">
        <w:t xml:space="preserve">However, due to challenges </w:t>
      </w:r>
      <w:r w:rsidR="00F249DB">
        <w:t>such as</w:t>
      </w:r>
      <w:r w:rsidR="00091D31">
        <w:t xml:space="preserve"> intricate cell design</w:t>
      </w:r>
      <w:r w:rsidR="00461521">
        <w:t>s</w:t>
      </w:r>
      <w:r w:rsidR="00F249DB">
        <w:t xml:space="preserve"> and</w:t>
      </w:r>
      <w:r w:rsidR="00091D31">
        <w:t xml:space="preserve"> limited access to synchrotron facilities, </w:t>
      </w:r>
      <w:r w:rsidR="00F249DB">
        <w:t>EC-XPS</w:t>
      </w:r>
      <w:r w:rsidR="00091D31">
        <w:t xml:space="preserve"> is still developing</w:t>
      </w:r>
      <w:r w:rsidR="00F249DB">
        <w:t>.</w:t>
      </w:r>
    </w:p>
    <w:p w14:paraId="10421302" w14:textId="46D087AC" w:rsidR="00D23F18" w:rsidRDefault="004E51DD" w:rsidP="00D23F18">
      <w:pPr>
        <w:spacing w:after="240"/>
        <w:jc w:val="both"/>
      </w:pPr>
      <w:r>
        <w:t>In this work, we use lab-based EC-</w:t>
      </w:r>
      <w:proofErr w:type="gramStart"/>
      <w:r>
        <w:t>XPS</w:t>
      </w:r>
      <w:r w:rsidR="00ED50AD" w:rsidRPr="00ED50AD">
        <w:rPr>
          <w:vertAlign w:val="superscript"/>
        </w:rPr>
        <w:t>[</w:t>
      </w:r>
      <w:proofErr w:type="gramEnd"/>
      <w:r w:rsidR="00ED50AD" w:rsidRPr="00ED50AD">
        <w:rPr>
          <w:vertAlign w:val="superscript"/>
        </w:rPr>
        <w:t>3]</w:t>
      </w:r>
      <w:r>
        <w:t xml:space="preserve"> to directly probe the local electrostatic potential landscape of electrified solid/liquid interfaces and relate the observed binding</w:t>
      </w:r>
      <w:r w:rsidR="00D23F18">
        <w:t xml:space="preserve"> </w:t>
      </w:r>
      <w:r>
        <w:t xml:space="preserve">energy shifts to the concept of the absolute electrode potential. </w:t>
      </w:r>
      <w:r w:rsidR="00D23F18">
        <w:t>We</w:t>
      </w:r>
      <w:r>
        <w:t xml:space="preserve"> show that core levels of electrolyte species that are not electronically equilibrated with the grounded working electrode are expected to shift by approximately −1</w:t>
      </w:r>
      <w:r w:rsidR="0002304C">
        <w:t> </w:t>
      </w:r>
      <w:r>
        <w:t xml:space="preserve">eV/V with applied potential. Experimentally, </w:t>
      </w:r>
      <w:r w:rsidRPr="00AA30F9">
        <w:t>the liquid</w:t>
      </w:r>
      <w:r w:rsidR="0002304C" w:rsidRPr="00AA30F9">
        <w:t xml:space="preserve"> </w:t>
      </w:r>
      <w:r w:rsidRPr="00AA30F9">
        <w:t>phase water</w:t>
      </w:r>
      <w:r w:rsidR="0002304C" w:rsidRPr="00AA30F9">
        <w:t xml:space="preserve"> (LPW)</w:t>
      </w:r>
      <w:r w:rsidRPr="00AA30F9">
        <w:t xml:space="preserve"> O 1s signal follows this behavior with an almost ideal unity slope</w:t>
      </w:r>
      <w:r w:rsidR="0002304C" w:rsidRPr="00AA30F9">
        <w:t xml:space="preserve">. Furthermore, </w:t>
      </w:r>
      <w:r w:rsidR="00AA30F9" w:rsidRPr="00AA30F9">
        <w:t>its</w:t>
      </w:r>
      <w:r w:rsidR="0002304C" w:rsidRPr="00AA30F9">
        <w:t xml:space="preserve"> binding energy </w:t>
      </w:r>
      <w:r w:rsidRPr="00AA30F9">
        <w:t>correlates linearly with the standard hydrogen electrode scale</w:t>
      </w:r>
      <w:r w:rsidR="00426D2D">
        <w:t xml:space="preserve"> across different electrode electrolyte combinations</w:t>
      </w:r>
      <w:r w:rsidRPr="00AA30F9">
        <w:t xml:space="preserve">, providing an experimentally accessible energy scale linked to the solvated electron in solution. We further show that this concept is not limited to aqueous electrolytes: in non-aqueous </w:t>
      </w:r>
      <w:proofErr w:type="spellStart"/>
      <w:r w:rsidRPr="00AA30F9">
        <w:t>LiPF</w:t>
      </w:r>
      <w:proofErr w:type="spellEnd"/>
      <w:r w:rsidRPr="00AA30F9">
        <w:t>₆/propylene carbonate</w:t>
      </w:r>
      <w:r w:rsidR="00AA30F9">
        <w:t xml:space="preserve"> </w:t>
      </w:r>
      <w:r w:rsidRPr="00AA30F9">
        <w:t>electrolytes, solvent- and salt</w:t>
      </w:r>
      <w:r w:rsidR="006373A5">
        <w:t xml:space="preserve">- </w:t>
      </w:r>
      <w:r w:rsidRPr="00AA30F9">
        <w:t xml:space="preserve">derived core levels likewise track local electrostatic potential changes during Li plating. These results establish EC-XPS as a direct experimental approach for determining absolute or relative </w:t>
      </w:r>
      <w:r w:rsidR="00AA30F9" w:rsidRPr="00AA30F9">
        <w:t xml:space="preserve">electrode </w:t>
      </w:r>
      <w:r w:rsidRPr="00AA30F9">
        <w:t>potentials in electrochemical</w:t>
      </w:r>
      <w:r>
        <w:t xml:space="preserve"> systems</w:t>
      </w:r>
      <w:r w:rsidR="004759C6">
        <w:t xml:space="preserve"> under operating conditions</w:t>
      </w:r>
      <w:r>
        <w:t>.</w:t>
      </w:r>
    </w:p>
    <w:p w14:paraId="5B73348E" w14:textId="6E63462B" w:rsidR="00E60117" w:rsidRDefault="00115CE9" w:rsidP="00D23F18">
      <w:pPr>
        <w:spacing w:after="240"/>
        <w:jc w:val="center"/>
      </w:pPr>
      <w:r>
        <w:rPr>
          <w:noProof/>
          <w:snapToGrid/>
        </w:rPr>
        <w:drawing>
          <wp:inline distT="0" distB="0" distL="0" distR="0" wp14:anchorId="7187D0D6" wp14:editId="10F6A2FA">
            <wp:extent cx="4578350" cy="2257262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3.png"/>
                    <pic:cNvPicPr/>
                  </pic:nvPicPr>
                  <pic:blipFill rotWithShape="1">
                    <a:blip r:embed="rId5"/>
                    <a:srcRect l="3174" r="9113"/>
                    <a:stretch/>
                  </pic:blipFill>
                  <pic:spPr bwMode="auto">
                    <a:xfrm>
                      <a:off x="0" y="0"/>
                      <a:ext cx="4586919" cy="22614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8EC9C9" w14:textId="50866B64" w:rsidR="0002304C" w:rsidRDefault="00E60117" w:rsidP="00E60117">
      <w:pPr>
        <w:jc w:val="both"/>
      </w:pPr>
      <w:r w:rsidRPr="00E60117">
        <w:rPr>
          <w:b/>
        </w:rPr>
        <w:t xml:space="preserve">Figure 1. </w:t>
      </w:r>
      <w:r w:rsidR="0002304C">
        <w:rPr>
          <w:b/>
        </w:rPr>
        <w:t>Binding energy shifts in EC-XPS</w:t>
      </w:r>
      <w:r w:rsidRPr="00E60117">
        <w:rPr>
          <w:b/>
        </w:rPr>
        <w:t>.</w:t>
      </w:r>
      <w:r w:rsidR="002B0F7F">
        <w:rPr>
          <w:b/>
        </w:rPr>
        <w:t xml:space="preserve"> </w:t>
      </w:r>
      <w:r w:rsidR="0002304C" w:rsidRPr="0002304C">
        <w:t>a) shows the dependency of the gas phase water (GPW) signal and the liquid phase water (LPW) signal on the applied potential</w:t>
      </w:r>
      <w:r w:rsidR="0025488C">
        <w:t xml:space="preserve"> (1.6 V</w:t>
      </w:r>
      <w:r w:rsidR="0025488C" w:rsidRPr="0025488C">
        <w:rPr>
          <w:vertAlign w:val="subscript"/>
        </w:rPr>
        <w:t>SHE</w:t>
      </w:r>
      <w:r w:rsidR="0025488C">
        <w:t xml:space="preserve"> and 0.9 V</w:t>
      </w:r>
      <w:r w:rsidR="0025488C" w:rsidRPr="0025488C">
        <w:rPr>
          <w:vertAlign w:val="subscript"/>
        </w:rPr>
        <w:t>SHE</w:t>
      </w:r>
      <w:r w:rsidR="0025488C">
        <w:t>, respectively</w:t>
      </w:r>
      <w:r w:rsidR="0002304C" w:rsidRPr="0002304C">
        <w:t xml:space="preserve">) shows this behavior over a wide potential range for various electrode/electrolyte combinations suggesting </w:t>
      </w:r>
      <w:r w:rsidR="00ED50AD">
        <w:t>a</w:t>
      </w:r>
      <w:r w:rsidR="0002304C" w:rsidRPr="0002304C">
        <w:t xml:space="preserve"> connection to an absolute</w:t>
      </w:r>
      <w:r w:rsidR="0002304C">
        <w:t xml:space="preserve"> electrode potential.</w:t>
      </w:r>
    </w:p>
    <w:p w14:paraId="24B94A57" w14:textId="7365BBED" w:rsidR="00ED50AD" w:rsidRDefault="00ED50AD" w:rsidP="00E60117">
      <w:pPr>
        <w:jc w:val="both"/>
        <w:rPr>
          <w:b/>
        </w:rPr>
      </w:pPr>
    </w:p>
    <w:p w14:paraId="434C6682" w14:textId="77777777" w:rsidR="00325004" w:rsidRPr="00B34882" w:rsidRDefault="00BC331F" w:rsidP="00E0716D">
      <w:pPr>
        <w:jc w:val="both"/>
        <w:rPr>
          <w:b/>
        </w:rPr>
      </w:pPr>
      <w:r w:rsidRPr="00B34882">
        <w:rPr>
          <w:b/>
        </w:rPr>
        <w:t>References</w:t>
      </w:r>
    </w:p>
    <w:p w14:paraId="6505684F" w14:textId="77777777" w:rsidR="00BC331F" w:rsidRPr="00B34882" w:rsidRDefault="00BC331F" w:rsidP="00BC331F">
      <w:pPr>
        <w:pStyle w:val="CitaviBibliographyEntry"/>
      </w:pPr>
      <w:r w:rsidRPr="00B34882">
        <w:rPr>
          <w:sz w:val="16"/>
          <w:szCs w:val="16"/>
        </w:rPr>
        <w:t>[1]</w:t>
      </w:r>
      <w:r w:rsidRPr="00B34882">
        <w:rPr>
          <w:sz w:val="16"/>
          <w:szCs w:val="16"/>
        </w:rPr>
        <w:tab/>
        <w:t xml:space="preserve">S. Ye, T. Kondo, N. Hoshi, J. </w:t>
      </w:r>
      <w:proofErr w:type="spellStart"/>
      <w:r w:rsidRPr="00B34882">
        <w:rPr>
          <w:sz w:val="16"/>
          <w:szCs w:val="16"/>
        </w:rPr>
        <w:t>Inukai</w:t>
      </w:r>
      <w:proofErr w:type="spellEnd"/>
      <w:r w:rsidRPr="00B34882">
        <w:rPr>
          <w:sz w:val="16"/>
          <w:szCs w:val="16"/>
        </w:rPr>
        <w:t xml:space="preserve">, S. Yoshimoto, M. </w:t>
      </w:r>
      <w:proofErr w:type="spellStart"/>
      <w:r w:rsidRPr="00B34882">
        <w:rPr>
          <w:sz w:val="16"/>
          <w:szCs w:val="16"/>
        </w:rPr>
        <w:t>Osawa</w:t>
      </w:r>
      <w:proofErr w:type="spellEnd"/>
      <w:r w:rsidRPr="00B34882">
        <w:rPr>
          <w:sz w:val="16"/>
          <w:szCs w:val="16"/>
        </w:rPr>
        <w:t xml:space="preserve">, K. </w:t>
      </w:r>
      <w:proofErr w:type="spellStart"/>
      <w:r w:rsidRPr="00B34882">
        <w:rPr>
          <w:sz w:val="16"/>
          <w:szCs w:val="16"/>
        </w:rPr>
        <w:t>Itaya</w:t>
      </w:r>
      <w:proofErr w:type="spellEnd"/>
      <w:r w:rsidRPr="00B34882">
        <w:rPr>
          <w:sz w:val="16"/>
          <w:szCs w:val="16"/>
        </w:rPr>
        <w:t xml:space="preserve">. </w:t>
      </w:r>
      <w:r w:rsidRPr="00B34882">
        <w:rPr>
          <w:i/>
          <w:sz w:val="16"/>
          <w:szCs w:val="16"/>
        </w:rPr>
        <w:t>Electrochemistry</w:t>
      </w:r>
      <w:r w:rsidRPr="00B34882">
        <w:rPr>
          <w:sz w:val="16"/>
          <w:szCs w:val="16"/>
        </w:rPr>
        <w:t xml:space="preserve">. </w:t>
      </w:r>
      <w:r w:rsidRPr="00B34882">
        <w:rPr>
          <w:b/>
          <w:sz w:val="16"/>
          <w:szCs w:val="16"/>
        </w:rPr>
        <w:t>77</w:t>
      </w:r>
      <w:r w:rsidRPr="00B34882">
        <w:rPr>
          <w:sz w:val="16"/>
          <w:szCs w:val="16"/>
        </w:rPr>
        <w:t xml:space="preserve">, E1 (2009), </w:t>
      </w:r>
    </w:p>
    <w:p w14:paraId="1B7F8BCC" w14:textId="77777777" w:rsidR="00B34882" w:rsidRDefault="00B34882" w:rsidP="00BC331F">
      <w:pPr>
        <w:pStyle w:val="CitaviBibliographyEntry"/>
        <w:rPr>
          <w:sz w:val="16"/>
          <w:szCs w:val="16"/>
          <w:lang w:val="de-AT"/>
        </w:rPr>
      </w:pPr>
      <w:r>
        <w:rPr>
          <w:sz w:val="16"/>
          <w:szCs w:val="16"/>
        </w:rPr>
        <w:t>[2]</w:t>
      </w:r>
      <w:r>
        <w:rPr>
          <w:sz w:val="16"/>
          <w:szCs w:val="16"/>
        </w:rPr>
        <w:tab/>
      </w:r>
      <w:r w:rsidRPr="00B34882">
        <w:rPr>
          <w:sz w:val="16"/>
          <w:szCs w:val="16"/>
        </w:rPr>
        <w:t xml:space="preserve">S. </w:t>
      </w:r>
      <w:proofErr w:type="spellStart"/>
      <w:r w:rsidRPr="00B34882">
        <w:rPr>
          <w:sz w:val="16"/>
          <w:szCs w:val="16"/>
        </w:rPr>
        <w:t>Axnanda</w:t>
      </w:r>
      <w:proofErr w:type="spellEnd"/>
      <w:r w:rsidRPr="00B34882">
        <w:rPr>
          <w:sz w:val="16"/>
          <w:szCs w:val="16"/>
        </w:rPr>
        <w:t xml:space="preserve">, E. J. Crumlin, B. Mao, S. Rani, R. Chang, P. G. Karlsson, M. O. M. Edwards, M. Lundqvist, R. Moberg, P. Ross, Z. Hussain, Z. Liu. </w:t>
      </w:r>
      <w:r w:rsidRPr="00D92EC5">
        <w:rPr>
          <w:sz w:val="16"/>
          <w:szCs w:val="16"/>
          <w:lang w:val="de-DE"/>
        </w:rPr>
        <w:t xml:space="preserve">Scientific </w:t>
      </w:r>
      <w:proofErr w:type="spellStart"/>
      <w:r w:rsidRPr="00D92EC5">
        <w:rPr>
          <w:sz w:val="16"/>
          <w:szCs w:val="16"/>
          <w:lang w:val="de-DE"/>
        </w:rPr>
        <w:t>reports</w:t>
      </w:r>
      <w:proofErr w:type="spellEnd"/>
      <w:r w:rsidRPr="00D92EC5">
        <w:rPr>
          <w:sz w:val="16"/>
          <w:szCs w:val="16"/>
          <w:lang w:val="de-DE"/>
        </w:rPr>
        <w:t xml:space="preserve">. </w:t>
      </w:r>
      <w:r w:rsidRPr="00B34882">
        <w:rPr>
          <w:sz w:val="16"/>
          <w:szCs w:val="16"/>
          <w:lang w:val="de-AT"/>
        </w:rPr>
        <w:t>5, 9788 (2015).</w:t>
      </w:r>
    </w:p>
    <w:p w14:paraId="5E8E6120" w14:textId="12C0BA2E" w:rsidR="00BC331F" w:rsidRPr="00BC331F" w:rsidRDefault="00BC331F" w:rsidP="00BC331F">
      <w:pPr>
        <w:pStyle w:val="CitaviBibliographyEntry"/>
        <w:rPr>
          <w:sz w:val="16"/>
          <w:szCs w:val="16"/>
        </w:rPr>
      </w:pPr>
      <w:r w:rsidRPr="00B34882">
        <w:rPr>
          <w:sz w:val="16"/>
          <w:szCs w:val="16"/>
          <w:lang w:val="de-AT"/>
        </w:rPr>
        <w:t>[</w:t>
      </w:r>
      <w:r w:rsidR="00ED50AD">
        <w:rPr>
          <w:sz w:val="16"/>
          <w:szCs w:val="16"/>
          <w:lang w:val="de-AT"/>
        </w:rPr>
        <w:t>3</w:t>
      </w:r>
      <w:r w:rsidRPr="00B34882">
        <w:rPr>
          <w:sz w:val="16"/>
          <w:szCs w:val="16"/>
          <w:lang w:val="de-AT"/>
        </w:rPr>
        <w:t>]</w:t>
      </w:r>
      <w:r w:rsidRPr="00B34882">
        <w:rPr>
          <w:sz w:val="16"/>
          <w:szCs w:val="16"/>
          <w:lang w:val="de-AT"/>
        </w:rPr>
        <w:tab/>
        <w:t xml:space="preserve">C. </w:t>
      </w:r>
      <w:proofErr w:type="spellStart"/>
      <w:r w:rsidRPr="00B34882">
        <w:rPr>
          <w:sz w:val="16"/>
          <w:szCs w:val="16"/>
          <w:lang w:val="de-AT"/>
        </w:rPr>
        <w:t>Griesser,</w:t>
      </w:r>
      <w:proofErr w:type="spellEnd"/>
      <w:r w:rsidRPr="00B34882">
        <w:rPr>
          <w:sz w:val="16"/>
          <w:szCs w:val="16"/>
          <w:lang w:val="de-AT"/>
        </w:rPr>
        <w:t xml:space="preserve"> D. Winkler, T. Moser, L. Haug, M. Thaler, E. Portenkirchner, B. Klötzer, S. Diaz‐Coello, E. Pastor, J. Kunze‐Liebhäuser. </w:t>
      </w:r>
      <w:r w:rsidRPr="00BC331F">
        <w:rPr>
          <w:sz w:val="16"/>
          <w:szCs w:val="16"/>
        </w:rPr>
        <w:t xml:space="preserve">Electrochemical Science Adv. </w:t>
      </w:r>
      <w:r w:rsidRPr="00BC331F">
        <w:rPr>
          <w:b/>
          <w:sz w:val="16"/>
          <w:szCs w:val="16"/>
        </w:rPr>
        <w:t>4</w:t>
      </w:r>
      <w:r w:rsidRPr="00BC331F">
        <w:rPr>
          <w:sz w:val="16"/>
          <w:szCs w:val="16"/>
        </w:rPr>
        <w:t xml:space="preserve"> (2024).</w:t>
      </w:r>
    </w:p>
    <w:sectPr w:rsidR="00BC331F" w:rsidRPr="00BC331F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DC40098" w16cex:dateUtc="2026-05-29T10:10:00Z"/>
  <w16cex:commentExtensible w16cex:durableId="2DC401C8" w16cex:dateUtc="2026-05-29T10:15:00Z"/>
  <w16cex:commentExtensible w16cex:durableId="2DC4020A" w16cex:dateUtc="2026-05-29T10:16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2304C"/>
    <w:rsid w:val="00041EFD"/>
    <w:rsid w:val="00055B6C"/>
    <w:rsid w:val="00080664"/>
    <w:rsid w:val="00091D31"/>
    <w:rsid w:val="000A5ED7"/>
    <w:rsid w:val="000A76AD"/>
    <w:rsid w:val="000C29AD"/>
    <w:rsid w:val="000C2B38"/>
    <w:rsid w:val="000D369C"/>
    <w:rsid w:val="00115CE9"/>
    <w:rsid w:val="00116A81"/>
    <w:rsid w:val="001E1A38"/>
    <w:rsid w:val="001F3EF3"/>
    <w:rsid w:val="002455F2"/>
    <w:rsid w:val="0025488C"/>
    <w:rsid w:val="0028776B"/>
    <w:rsid w:val="002B0F7F"/>
    <w:rsid w:val="002E4794"/>
    <w:rsid w:val="00325004"/>
    <w:rsid w:val="0035576B"/>
    <w:rsid w:val="003627D3"/>
    <w:rsid w:val="00412D49"/>
    <w:rsid w:val="00426D2D"/>
    <w:rsid w:val="00456D62"/>
    <w:rsid w:val="00461521"/>
    <w:rsid w:val="004759C6"/>
    <w:rsid w:val="00481544"/>
    <w:rsid w:val="00496889"/>
    <w:rsid w:val="004E51DD"/>
    <w:rsid w:val="00537B32"/>
    <w:rsid w:val="005814B3"/>
    <w:rsid w:val="005942A4"/>
    <w:rsid w:val="005B084B"/>
    <w:rsid w:val="005D0C3A"/>
    <w:rsid w:val="005F7AC7"/>
    <w:rsid w:val="006168B9"/>
    <w:rsid w:val="00616E37"/>
    <w:rsid w:val="006373A5"/>
    <w:rsid w:val="00685C1A"/>
    <w:rsid w:val="006B5767"/>
    <w:rsid w:val="006E568C"/>
    <w:rsid w:val="007F3477"/>
    <w:rsid w:val="00847F00"/>
    <w:rsid w:val="00856D13"/>
    <w:rsid w:val="009245C8"/>
    <w:rsid w:val="0092679C"/>
    <w:rsid w:val="009828D3"/>
    <w:rsid w:val="009B139E"/>
    <w:rsid w:val="009C46D7"/>
    <w:rsid w:val="00AA30F9"/>
    <w:rsid w:val="00B019C9"/>
    <w:rsid w:val="00B32715"/>
    <w:rsid w:val="00B34882"/>
    <w:rsid w:val="00B612FD"/>
    <w:rsid w:val="00B814CE"/>
    <w:rsid w:val="00BC331F"/>
    <w:rsid w:val="00BF3FD6"/>
    <w:rsid w:val="00C12FE1"/>
    <w:rsid w:val="00C8377F"/>
    <w:rsid w:val="00CA6374"/>
    <w:rsid w:val="00D04F3F"/>
    <w:rsid w:val="00D23F18"/>
    <w:rsid w:val="00D5227E"/>
    <w:rsid w:val="00D54504"/>
    <w:rsid w:val="00D71A01"/>
    <w:rsid w:val="00D92EC5"/>
    <w:rsid w:val="00DA4D61"/>
    <w:rsid w:val="00DC4B0C"/>
    <w:rsid w:val="00E0716D"/>
    <w:rsid w:val="00E2117E"/>
    <w:rsid w:val="00E57156"/>
    <w:rsid w:val="00E60117"/>
    <w:rsid w:val="00E611A6"/>
    <w:rsid w:val="00E65067"/>
    <w:rsid w:val="00ED50AD"/>
    <w:rsid w:val="00F0266A"/>
    <w:rsid w:val="00F249DB"/>
    <w:rsid w:val="00F27859"/>
    <w:rsid w:val="00F3058D"/>
    <w:rsid w:val="00F819D1"/>
    <w:rsid w:val="00F86530"/>
    <w:rsid w:val="00F97641"/>
    <w:rsid w:val="00FD3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B543FF7"/>
  <w14:defaultImageDpi w14:val="330"/>
  <w15:chartTrackingRefBased/>
  <w15:docId w15:val="{CF79A704-518B-405D-8CEE-CECA1DA93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E0716D"/>
    <w:pPr>
      <w:widowControl w:val="0"/>
    </w:pPr>
    <w:rPr>
      <w:snapToGrid w:val="0"/>
      <w:lang w:val="en-US"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455F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455F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455F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455F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455F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455F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455F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455F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455F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unhideWhenUsed/>
    <w:rsid w:val="002455F2"/>
    <w:rPr>
      <w:color w:val="808080"/>
    </w:rPr>
  </w:style>
  <w:style w:type="paragraph" w:customStyle="1" w:styleId="CitaviBibliographyEntry">
    <w:name w:val="Citavi Bibliography Entry"/>
    <w:basedOn w:val="Standard"/>
    <w:link w:val="CitaviBibliographyEntryZchn"/>
    <w:uiPriority w:val="99"/>
    <w:rsid w:val="002455F2"/>
    <w:pPr>
      <w:tabs>
        <w:tab w:val="left" w:pos="340"/>
      </w:tabs>
      <w:ind w:left="340" w:hanging="340"/>
    </w:pPr>
  </w:style>
  <w:style w:type="character" w:customStyle="1" w:styleId="CitaviBibliographyEntryZchn">
    <w:name w:val="Citavi Bibliography Entry Zchn"/>
    <w:basedOn w:val="Absatz-Standardschriftart"/>
    <w:link w:val="CitaviBibliographyEntry"/>
    <w:uiPriority w:val="99"/>
    <w:rsid w:val="002455F2"/>
    <w:rPr>
      <w:snapToGrid w:val="0"/>
      <w:lang w:val="en-US" w:eastAsia="en-US"/>
    </w:rPr>
  </w:style>
  <w:style w:type="paragraph" w:customStyle="1" w:styleId="CitaviBibliographyHeading">
    <w:name w:val="Citavi Bibliography Heading"/>
    <w:basedOn w:val="berschrift1"/>
    <w:link w:val="CitaviBibliographyHeadingZchn"/>
    <w:uiPriority w:val="99"/>
    <w:rsid w:val="002455F2"/>
  </w:style>
  <w:style w:type="character" w:customStyle="1" w:styleId="CitaviBibliographyHeadingZchn">
    <w:name w:val="Citavi Bibliography Heading Zchn"/>
    <w:basedOn w:val="Absatz-Standardschriftart"/>
    <w:link w:val="CitaviBibliographyHeading"/>
    <w:uiPriority w:val="99"/>
    <w:rsid w:val="002455F2"/>
    <w:rPr>
      <w:rFonts w:asciiTheme="majorHAnsi" w:eastAsiaTheme="majorEastAsia" w:hAnsiTheme="majorHAnsi" w:cstheme="majorBidi"/>
      <w:snapToGrid w:val="0"/>
      <w:color w:val="2F5496" w:themeColor="accent1" w:themeShade="BF"/>
      <w:sz w:val="32"/>
      <w:szCs w:val="32"/>
      <w:lang w:val="en-US" w:eastAsia="en-US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455F2"/>
    <w:rPr>
      <w:rFonts w:asciiTheme="majorHAnsi" w:eastAsiaTheme="majorEastAsia" w:hAnsiTheme="majorHAnsi" w:cstheme="majorBidi"/>
      <w:snapToGrid w:val="0"/>
      <w:color w:val="2F5496" w:themeColor="accent1" w:themeShade="BF"/>
      <w:sz w:val="32"/>
      <w:szCs w:val="32"/>
      <w:lang w:val="en-US" w:eastAsia="en-US"/>
    </w:rPr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  <w:rsid w:val="002455F2"/>
  </w:style>
  <w:style w:type="character" w:customStyle="1" w:styleId="CitaviChapterBibliographyHeadingZchn">
    <w:name w:val="Citavi Chapter Bibliography Heading Zchn"/>
    <w:basedOn w:val="Absatz-Standardschriftart"/>
    <w:link w:val="CitaviChapterBibliographyHeading"/>
    <w:uiPriority w:val="99"/>
    <w:rsid w:val="002455F2"/>
    <w:rPr>
      <w:rFonts w:asciiTheme="majorHAnsi" w:eastAsiaTheme="majorEastAsia" w:hAnsiTheme="majorHAnsi" w:cstheme="majorBidi"/>
      <w:snapToGrid w:val="0"/>
      <w:color w:val="2F5496" w:themeColor="accent1" w:themeShade="BF"/>
      <w:sz w:val="26"/>
      <w:szCs w:val="26"/>
      <w:lang w:val="en-US"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455F2"/>
    <w:rPr>
      <w:rFonts w:asciiTheme="majorHAnsi" w:eastAsiaTheme="majorEastAsia" w:hAnsiTheme="majorHAnsi" w:cstheme="majorBidi"/>
      <w:snapToGrid w:val="0"/>
      <w:color w:val="2F5496" w:themeColor="accent1" w:themeShade="BF"/>
      <w:sz w:val="26"/>
      <w:szCs w:val="26"/>
      <w:lang w:val="en-US" w:eastAsia="en-US"/>
    </w:rPr>
  </w:style>
  <w:style w:type="paragraph" w:customStyle="1" w:styleId="CitaviBibliographySubheading1">
    <w:name w:val="Citavi Bibliography Subheading 1"/>
    <w:basedOn w:val="berschrift2"/>
    <w:link w:val="CitaviBibliographySubheading1Zchn"/>
    <w:uiPriority w:val="99"/>
    <w:rsid w:val="002455F2"/>
    <w:pPr>
      <w:ind w:left="709"/>
      <w:outlineLvl w:val="9"/>
    </w:p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uiPriority w:val="99"/>
    <w:rsid w:val="002455F2"/>
    <w:rPr>
      <w:rFonts w:asciiTheme="majorHAnsi" w:eastAsiaTheme="majorEastAsia" w:hAnsiTheme="majorHAnsi" w:cstheme="majorBidi"/>
      <w:snapToGrid w:val="0"/>
      <w:color w:val="2F5496" w:themeColor="accent1" w:themeShade="BF"/>
      <w:sz w:val="26"/>
      <w:szCs w:val="26"/>
      <w:lang w:val="en-US" w:eastAsia="en-US"/>
    </w:rPr>
  </w:style>
  <w:style w:type="paragraph" w:customStyle="1" w:styleId="CitaviBibliographySubheading2">
    <w:name w:val="Citavi Bibliography Subheading 2"/>
    <w:basedOn w:val="berschrift3"/>
    <w:link w:val="CitaviBibliographySubheading2Zchn"/>
    <w:uiPriority w:val="99"/>
    <w:rsid w:val="002455F2"/>
    <w:pPr>
      <w:ind w:left="709"/>
      <w:outlineLvl w:val="9"/>
    </w:p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uiPriority w:val="99"/>
    <w:rsid w:val="002455F2"/>
    <w:rPr>
      <w:rFonts w:asciiTheme="majorHAnsi" w:eastAsiaTheme="majorEastAsia" w:hAnsiTheme="majorHAnsi" w:cstheme="majorBidi"/>
      <w:snapToGrid w:val="0"/>
      <w:color w:val="1F3763" w:themeColor="accent1" w:themeShade="7F"/>
      <w:sz w:val="24"/>
      <w:szCs w:val="24"/>
      <w:lang w:val="en-US" w:eastAsia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455F2"/>
    <w:rPr>
      <w:rFonts w:asciiTheme="majorHAnsi" w:eastAsiaTheme="majorEastAsia" w:hAnsiTheme="majorHAnsi" w:cstheme="majorBidi"/>
      <w:snapToGrid w:val="0"/>
      <w:color w:val="1F3763" w:themeColor="accent1" w:themeShade="7F"/>
      <w:sz w:val="24"/>
      <w:szCs w:val="24"/>
      <w:lang w:val="en-US" w:eastAsia="en-US"/>
    </w:rPr>
  </w:style>
  <w:style w:type="paragraph" w:customStyle="1" w:styleId="CitaviBibliographySubheading3">
    <w:name w:val="Citavi Bibliography Subheading 3"/>
    <w:basedOn w:val="berschrift4"/>
    <w:link w:val="CitaviBibliographySubheading3Zchn"/>
    <w:uiPriority w:val="99"/>
    <w:rsid w:val="002455F2"/>
    <w:pPr>
      <w:ind w:left="709"/>
      <w:outlineLvl w:val="9"/>
    </w:p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uiPriority w:val="99"/>
    <w:rsid w:val="002455F2"/>
    <w:rPr>
      <w:rFonts w:asciiTheme="majorHAnsi" w:eastAsiaTheme="majorEastAsia" w:hAnsiTheme="majorHAnsi" w:cstheme="majorBidi"/>
      <w:i/>
      <w:iCs/>
      <w:snapToGrid w:val="0"/>
      <w:color w:val="2F5496" w:themeColor="accent1" w:themeShade="BF"/>
      <w:lang w:val="en-US"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455F2"/>
    <w:rPr>
      <w:rFonts w:asciiTheme="majorHAnsi" w:eastAsiaTheme="majorEastAsia" w:hAnsiTheme="majorHAnsi" w:cstheme="majorBidi"/>
      <w:i/>
      <w:iCs/>
      <w:snapToGrid w:val="0"/>
      <w:color w:val="2F5496" w:themeColor="accent1" w:themeShade="BF"/>
      <w:lang w:val="en-US" w:eastAsia="en-US"/>
    </w:rPr>
  </w:style>
  <w:style w:type="paragraph" w:customStyle="1" w:styleId="CitaviBibliographySubheading4">
    <w:name w:val="Citavi Bibliography Subheading 4"/>
    <w:basedOn w:val="berschrift5"/>
    <w:link w:val="CitaviBibliographySubheading4Zchn"/>
    <w:uiPriority w:val="99"/>
    <w:rsid w:val="002455F2"/>
    <w:pPr>
      <w:ind w:left="709"/>
      <w:outlineLvl w:val="9"/>
    </w:p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uiPriority w:val="99"/>
    <w:rsid w:val="002455F2"/>
    <w:rPr>
      <w:rFonts w:asciiTheme="majorHAnsi" w:eastAsiaTheme="majorEastAsia" w:hAnsiTheme="majorHAnsi" w:cstheme="majorBidi"/>
      <w:snapToGrid w:val="0"/>
      <w:color w:val="2F5496" w:themeColor="accent1" w:themeShade="BF"/>
      <w:lang w:val="en-US"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455F2"/>
    <w:rPr>
      <w:rFonts w:asciiTheme="majorHAnsi" w:eastAsiaTheme="majorEastAsia" w:hAnsiTheme="majorHAnsi" w:cstheme="majorBidi"/>
      <w:snapToGrid w:val="0"/>
      <w:color w:val="2F5496" w:themeColor="accent1" w:themeShade="BF"/>
      <w:lang w:val="en-US" w:eastAsia="en-US"/>
    </w:rPr>
  </w:style>
  <w:style w:type="paragraph" w:customStyle="1" w:styleId="CitaviBibliographySubheading5">
    <w:name w:val="Citavi Bibliography Subheading 5"/>
    <w:basedOn w:val="berschrift6"/>
    <w:link w:val="CitaviBibliographySubheading5Zchn"/>
    <w:uiPriority w:val="99"/>
    <w:rsid w:val="002455F2"/>
    <w:pPr>
      <w:ind w:left="709"/>
      <w:outlineLvl w:val="9"/>
    </w:p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uiPriority w:val="99"/>
    <w:rsid w:val="002455F2"/>
    <w:rPr>
      <w:rFonts w:asciiTheme="majorHAnsi" w:eastAsiaTheme="majorEastAsia" w:hAnsiTheme="majorHAnsi" w:cstheme="majorBidi"/>
      <w:snapToGrid w:val="0"/>
      <w:color w:val="1F3763" w:themeColor="accent1" w:themeShade="7F"/>
      <w:lang w:val="en-US" w:eastAsia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455F2"/>
    <w:rPr>
      <w:rFonts w:asciiTheme="majorHAnsi" w:eastAsiaTheme="majorEastAsia" w:hAnsiTheme="majorHAnsi" w:cstheme="majorBidi"/>
      <w:snapToGrid w:val="0"/>
      <w:color w:val="1F3763" w:themeColor="accent1" w:themeShade="7F"/>
      <w:lang w:val="en-US" w:eastAsia="en-US"/>
    </w:rPr>
  </w:style>
  <w:style w:type="paragraph" w:customStyle="1" w:styleId="CitaviBibliographySubheading6">
    <w:name w:val="Citavi Bibliography Subheading 6"/>
    <w:basedOn w:val="berschrift7"/>
    <w:link w:val="CitaviBibliographySubheading6Zchn"/>
    <w:uiPriority w:val="99"/>
    <w:rsid w:val="002455F2"/>
    <w:pPr>
      <w:ind w:left="709"/>
      <w:outlineLvl w:val="9"/>
    </w:p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uiPriority w:val="99"/>
    <w:rsid w:val="002455F2"/>
    <w:rPr>
      <w:rFonts w:asciiTheme="majorHAnsi" w:eastAsiaTheme="majorEastAsia" w:hAnsiTheme="majorHAnsi" w:cstheme="majorBidi"/>
      <w:i/>
      <w:iCs/>
      <w:snapToGrid w:val="0"/>
      <w:color w:val="1F3763" w:themeColor="accent1" w:themeShade="7F"/>
      <w:lang w:val="en-US" w:eastAsia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455F2"/>
    <w:rPr>
      <w:rFonts w:asciiTheme="majorHAnsi" w:eastAsiaTheme="majorEastAsia" w:hAnsiTheme="majorHAnsi" w:cstheme="majorBidi"/>
      <w:i/>
      <w:iCs/>
      <w:snapToGrid w:val="0"/>
      <w:color w:val="1F3763" w:themeColor="accent1" w:themeShade="7F"/>
      <w:lang w:val="en-US" w:eastAsia="en-US"/>
    </w:rPr>
  </w:style>
  <w:style w:type="paragraph" w:customStyle="1" w:styleId="CitaviBibliographySubheading7">
    <w:name w:val="Citavi Bibliography Subheading 7"/>
    <w:basedOn w:val="berschrift8"/>
    <w:link w:val="CitaviBibliographySubheading7Zchn"/>
    <w:uiPriority w:val="99"/>
    <w:rsid w:val="002455F2"/>
    <w:pPr>
      <w:ind w:left="709"/>
      <w:outlineLvl w:val="9"/>
    </w:p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uiPriority w:val="99"/>
    <w:rsid w:val="002455F2"/>
    <w:rPr>
      <w:rFonts w:asciiTheme="majorHAnsi" w:eastAsiaTheme="majorEastAsia" w:hAnsiTheme="majorHAnsi" w:cstheme="majorBidi"/>
      <w:snapToGrid w:val="0"/>
      <w:color w:val="272727" w:themeColor="text1" w:themeTint="D8"/>
      <w:sz w:val="21"/>
      <w:szCs w:val="21"/>
      <w:lang w:val="en-US" w:eastAsia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455F2"/>
    <w:rPr>
      <w:rFonts w:asciiTheme="majorHAnsi" w:eastAsiaTheme="majorEastAsia" w:hAnsiTheme="majorHAnsi" w:cstheme="majorBidi"/>
      <w:snapToGrid w:val="0"/>
      <w:color w:val="272727" w:themeColor="text1" w:themeTint="D8"/>
      <w:sz w:val="21"/>
      <w:szCs w:val="21"/>
      <w:lang w:val="en-US" w:eastAsia="en-US"/>
    </w:rPr>
  </w:style>
  <w:style w:type="paragraph" w:customStyle="1" w:styleId="CitaviBibliographySubheading8">
    <w:name w:val="Citavi Bibliography Subheading 8"/>
    <w:basedOn w:val="berschrift9"/>
    <w:link w:val="CitaviBibliographySubheading8Zchn"/>
    <w:uiPriority w:val="99"/>
    <w:rsid w:val="002455F2"/>
    <w:pPr>
      <w:ind w:left="709"/>
      <w:outlineLvl w:val="9"/>
    </w:p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uiPriority w:val="99"/>
    <w:rsid w:val="002455F2"/>
    <w:rPr>
      <w:rFonts w:asciiTheme="majorHAnsi" w:eastAsiaTheme="majorEastAsia" w:hAnsiTheme="majorHAnsi" w:cstheme="majorBidi"/>
      <w:i/>
      <w:iCs/>
      <w:snapToGrid w:val="0"/>
      <w:color w:val="272727" w:themeColor="text1" w:themeTint="D8"/>
      <w:sz w:val="21"/>
      <w:szCs w:val="21"/>
      <w:lang w:val="en-US" w:eastAsia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455F2"/>
    <w:rPr>
      <w:rFonts w:asciiTheme="majorHAnsi" w:eastAsiaTheme="majorEastAsia" w:hAnsiTheme="majorHAnsi" w:cstheme="majorBidi"/>
      <w:i/>
      <w:iCs/>
      <w:snapToGrid w:val="0"/>
      <w:color w:val="272727" w:themeColor="text1" w:themeTint="D8"/>
      <w:sz w:val="21"/>
      <w:szCs w:val="21"/>
      <w:lang w:val="en-US"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B084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B084B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B084B"/>
    <w:rPr>
      <w:snapToGrid w:val="0"/>
      <w:lang w:val="en-US"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B084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B084B"/>
    <w:rPr>
      <w:b/>
      <w:bCs/>
      <w:snapToGrid w:val="0"/>
      <w:lang w:val="en-US"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71A01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71A01"/>
    <w:rPr>
      <w:rFonts w:ascii="Segoe UI" w:hAnsi="Segoe UI" w:cs="Segoe UI"/>
      <w:snapToGrid w:val="0"/>
      <w:sz w:val="18"/>
      <w:szCs w:val="18"/>
      <w:lang w:val="en-US" w:eastAsia="en-US"/>
    </w:rPr>
  </w:style>
  <w:style w:type="paragraph" w:styleId="berarbeitung">
    <w:name w:val="Revision"/>
    <w:hidden/>
    <w:uiPriority w:val="71"/>
    <w:rsid w:val="000C29AD"/>
    <w:rPr>
      <w:snapToGrid w:val="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3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165866-F02A-4061-B477-2C465BB60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431</Words>
  <Characters>2721</Characters>
  <Application>Microsoft Office Word</Application>
  <DocSecurity>0</DocSecurity>
  <Lines>22</Lines>
  <Paragraphs>6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Title</vt:lpstr>
      <vt:lpstr>Title</vt:lpstr>
      <vt:lpstr>Title</vt:lpstr>
    </vt:vector>
  </TitlesOfParts>
  <Company>Electrochemical Society</Company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dc:description/>
  <cp:lastModifiedBy>Grießer, Christoph</cp:lastModifiedBy>
  <cp:revision>4</cp:revision>
  <cp:lastPrinted>2013-10-21T12:07:00Z</cp:lastPrinted>
  <dcterms:created xsi:type="dcterms:W3CDTF">2026-06-01T14:54:00Z</dcterms:created>
  <dcterms:modified xsi:type="dcterms:W3CDTF">2026-06-01T14:57:00Z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7">
    <vt:lpwstr>ise mainz</vt:lpwstr>
  </property>
  <property fmtid="{D5CDD505-2E9C-101B-9397-08002B2CF9AE}" pid="3" name="CitaviDocumentProperty_0">
    <vt:lpwstr>1ca5813e-a610-4e6d-8454-1f42dcfd00db</vt:lpwstr>
  </property>
  <property fmtid="{D5CDD505-2E9C-101B-9397-08002B2CF9AE}" pid="4" name="CitaviDocumentProperty_1">
    <vt:lpwstr>6.18.0.1</vt:lpwstr>
  </property>
  <property fmtid="{D5CDD505-2E9C-101B-9397-08002B2CF9AE}" pid="5" name="CitaviDocumentProperty_8">
    <vt:lpwstr>CloudProjectKey=stle7kxnmvcbpkpqxs8o5f5ohzdhr530o7krlz; ProjectName=ise mainz</vt:lpwstr>
  </property>
</Properties>
</file>