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5B8C3" w14:textId="2A955890" w:rsidR="00B04B7D" w:rsidRPr="00A86EB9" w:rsidRDefault="00B04B7D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3D </w:t>
      </w:r>
      <w:r w:rsidR="00E52DD3">
        <w:rPr>
          <w:b/>
          <w:sz w:val="28"/>
        </w:rPr>
        <w:t>P</w:t>
      </w:r>
      <w:r>
        <w:rPr>
          <w:b/>
          <w:sz w:val="28"/>
        </w:rPr>
        <w:t>rinted Spectroelectrochemical Cell</w:t>
      </w:r>
      <w:r w:rsidR="00C910DD">
        <w:rPr>
          <w:b/>
          <w:sz w:val="28"/>
        </w:rPr>
        <w:t xml:space="preserve"> for </w:t>
      </w:r>
      <w:r w:rsidR="00C910DD" w:rsidRPr="006406FC">
        <w:rPr>
          <w:b/>
          <w:i/>
          <w:iCs/>
          <w:sz w:val="28"/>
        </w:rPr>
        <w:t xml:space="preserve">in </w:t>
      </w:r>
      <w:r w:rsidR="006406FC" w:rsidRPr="006406FC">
        <w:rPr>
          <w:b/>
          <w:i/>
          <w:iCs/>
          <w:sz w:val="28"/>
        </w:rPr>
        <w:t>s</w:t>
      </w:r>
      <w:r w:rsidR="00C910DD" w:rsidRPr="006406FC">
        <w:rPr>
          <w:b/>
          <w:i/>
          <w:iCs/>
          <w:sz w:val="28"/>
        </w:rPr>
        <w:t>itu</w:t>
      </w:r>
      <w:r w:rsidR="00C910DD">
        <w:rPr>
          <w:b/>
          <w:sz w:val="28"/>
        </w:rPr>
        <w:t xml:space="preserve"> and </w:t>
      </w:r>
      <w:r w:rsidR="00C910DD" w:rsidRPr="006406FC">
        <w:rPr>
          <w:b/>
          <w:i/>
          <w:iCs/>
          <w:sz w:val="28"/>
        </w:rPr>
        <w:t xml:space="preserve">in </w:t>
      </w:r>
      <w:r w:rsidR="006406FC" w:rsidRPr="006406FC">
        <w:rPr>
          <w:b/>
          <w:i/>
          <w:iCs/>
          <w:sz w:val="28"/>
        </w:rPr>
        <w:t>o</w:t>
      </w:r>
      <w:r w:rsidR="00C910DD" w:rsidRPr="006406FC">
        <w:rPr>
          <w:b/>
          <w:i/>
          <w:iCs/>
          <w:sz w:val="28"/>
        </w:rPr>
        <w:t>perando</w:t>
      </w:r>
      <w:r w:rsidR="00C910DD">
        <w:rPr>
          <w:b/>
          <w:sz w:val="28"/>
        </w:rPr>
        <w:t xml:space="preserve"> </w:t>
      </w:r>
      <w:r w:rsidR="00461143">
        <w:rPr>
          <w:b/>
          <w:sz w:val="28"/>
        </w:rPr>
        <w:t>M</w:t>
      </w:r>
      <w:r w:rsidR="00C910DD">
        <w:rPr>
          <w:b/>
          <w:sz w:val="28"/>
        </w:rPr>
        <w:t>easurements</w:t>
      </w:r>
    </w:p>
    <w:p w14:paraId="270F33DF" w14:textId="77777777" w:rsidR="00325004" w:rsidRPr="00602FE4" w:rsidRDefault="00325004" w:rsidP="00E0716D">
      <w:pPr>
        <w:jc w:val="center"/>
        <w:rPr>
          <w:b/>
        </w:rPr>
      </w:pPr>
    </w:p>
    <w:p w14:paraId="270F33E0" w14:textId="7C937172" w:rsidR="00325004" w:rsidRPr="00A431CA" w:rsidRDefault="00F33910" w:rsidP="00F33910">
      <w:pPr>
        <w:jc w:val="center"/>
        <w:rPr>
          <w:lang w:val="pt-BR"/>
        </w:rPr>
      </w:pPr>
      <w:r w:rsidRPr="00A431CA">
        <w:rPr>
          <w:lang w:val="pt-BR"/>
        </w:rPr>
        <w:t xml:space="preserve">Maria </w:t>
      </w:r>
      <w:r w:rsidR="00A431CA">
        <w:rPr>
          <w:lang w:val="pt-BR"/>
        </w:rPr>
        <w:t>E. B. Cardoso,</w:t>
      </w:r>
      <w:r w:rsidRPr="00A431CA">
        <w:rPr>
          <w:lang w:val="pt-BR"/>
        </w:rPr>
        <w:t xml:space="preserve"> Mariana B</w:t>
      </w:r>
      <w:r w:rsidR="00A431CA">
        <w:rPr>
          <w:lang w:val="pt-BR"/>
        </w:rPr>
        <w:t>.</w:t>
      </w:r>
      <w:r w:rsidRPr="00A431CA">
        <w:rPr>
          <w:lang w:val="pt-BR"/>
        </w:rPr>
        <w:t xml:space="preserve"> Silva,</w:t>
      </w:r>
      <w:r w:rsidRPr="00A431CA">
        <w:rPr>
          <w:u w:val="single"/>
          <w:lang w:val="pt-BR"/>
        </w:rPr>
        <w:t xml:space="preserve"> Juliano A</w:t>
      </w:r>
      <w:r w:rsidR="00A431CA">
        <w:rPr>
          <w:u w:val="single"/>
          <w:lang w:val="pt-BR"/>
        </w:rPr>
        <w:t>.</w:t>
      </w:r>
      <w:r w:rsidRPr="00A431CA">
        <w:rPr>
          <w:u w:val="single"/>
          <w:lang w:val="pt-BR"/>
        </w:rPr>
        <w:t xml:space="preserve"> Bonacin</w:t>
      </w:r>
    </w:p>
    <w:p w14:paraId="270F33E1" w14:textId="17B112F0" w:rsidR="00325004" w:rsidRPr="00A86EB9" w:rsidRDefault="00562D1F" w:rsidP="00E0716D">
      <w:pPr>
        <w:jc w:val="center"/>
        <w:rPr>
          <w:i/>
        </w:rPr>
      </w:pPr>
      <w:r>
        <w:rPr>
          <w:i/>
        </w:rPr>
        <w:t>Institute of Chemistry, University of Campinas - UNICAMP</w:t>
      </w:r>
    </w:p>
    <w:p w14:paraId="270F33E2" w14:textId="5B04E9E0" w:rsidR="00325004" w:rsidRPr="00D400B0" w:rsidRDefault="00D400B0" w:rsidP="00E0716D">
      <w:pPr>
        <w:jc w:val="center"/>
        <w:rPr>
          <w:lang w:val="pt-BR"/>
        </w:rPr>
      </w:pPr>
      <w:r w:rsidRPr="00D400B0">
        <w:rPr>
          <w:lang w:val="pt-BR"/>
        </w:rPr>
        <w:t>270 Monteiro Lobato Street,</w:t>
      </w:r>
      <w:r>
        <w:rPr>
          <w:lang w:val="pt-BR"/>
        </w:rPr>
        <w:t xml:space="preserve"> Campinas – São Paulo, Brazil</w:t>
      </w:r>
    </w:p>
    <w:p w14:paraId="270F33E3" w14:textId="3406EDD4" w:rsidR="00685C1A" w:rsidRPr="00D400B0" w:rsidRDefault="00B4686B" w:rsidP="00E0716D">
      <w:pPr>
        <w:jc w:val="center"/>
        <w:rPr>
          <w:i/>
          <w:lang w:val="pt-BR"/>
        </w:rPr>
      </w:pPr>
      <w:r w:rsidRPr="00D400B0">
        <w:rPr>
          <w:i/>
          <w:lang w:val="pt-BR"/>
        </w:rPr>
        <w:t>jbonacin@unicamp.br</w:t>
      </w:r>
    </w:p>
    <w:p w14:paraId="270F33E4" w14:textId="77777777" w:rsidR="00325004" w:rsidRPr="00D400B0" w:rsidRDefault="00325004" w:rsidP="00E0716D">
      <w:pPr>
        <w:jc w:val="center"/>
        <w:rPr>
          <w:sz w:val="10"/>
          <w:szCs w:val="10"/>
          <w:lang w:val="pt-BR"/>
        </w:rPr>
      </w:pPr>
    </w:p>
    <w:p w14:paraId="6120C84B" w14:textId="662A253B" w:rsidR="002F3C2D" w:rsidRDefault="00D400B0" w:rsidP="003142DC">
      <w:pPr>
        <w:jc w:val="both"/>
      </w:pPr>
      <w:r>
        <w:t>Spectroelectrochemistry is a powerful tool that allows scientists to observe the details and changes in electrogenerated species</w:t>
      </w:r>
      <w:r w:rsidR="003B5E3A">
        <w:t xml:space="preserve"> </w:t>
      </w:r>
      <w:r w:rsidR="003B5E3A" w:rsidRPr="003B5E3A">
        <w:t>on the electrode surface</w:t>
      </w:r>
      <w:r>
        <w:t>, contributing to a deeper understanding of electrochemical processes</w:t>
      </w:r>
      <w:r w:rsidRPr="004C6FE4">
        <w:rPr>
          <w:vertAlign w:val="superscript"/>
        </w:rPr>
        <w:t>1,2</w:t>
      </w:r>
      <w:r>
        <w:t>.</w:t>
      </w:r>
      <w:r w:rsidR="00CC5EEA">
        <w:t xml:space="preserve"> </w:t>
      </w:r>
      <w:r w:rsidR="00EB597A" w:rsidRPr="00EB597A">
        <w:t xml:space="preserve">The combination of electrochemical techniques and Raman spectroscopy provides important information about  formation of films on an electrode, changes of oxidation states, the formation or breaking of a bond, and even help unravel a reaction </w:t>
      </w:r>
      <w:r>
        <w:t>mechanism</w:t>
      </w:r>
      <w:r w:rsidRPr="004C6FE4">
        <w:rPr>
          <w:vertAlign w:val="superscript"/>
        </w:rPr>
        <w:t>2</w:t>
      </w:r>
      <w:r>
        <w:t>.</w:t>
      </w:r>
      <w:r w:rsidR="002F246A">
        <w:t xml:space="preserve"> </w:t>
      </w:r>
      <w:r>
        <w:t>However, commercially available spectroelectrochemical cells (SEC) have</w:t>
      </w:r>
      <w:r w:rsidR="00EB597A">
        <w:t xml:space="preserve"> some</w:t>
      </w:r>
      <w:r>
        <w:t xml:space="preserve"> limitations, such as high cost and limited working electrodes</w:t>
      </w:r>
      <w:r w:rsidR="00EB597A">
        <w:t xml:space="preserve"> options</w:t>
      </w:r>
      <w:r>
        <w:t>.</w:t>
      </w:r>
      <w:r w:rsidR="00601CD9">
        <w:t xml:space="preserve"> </w:t>
      </w:r>
      <w:r>
        <w:t xml:space="preserve">Commercial cells strongly rely on circular flat electrodes, which are usually </w:t>
      </w:r>
      <w:r w:rsidR="00EB597A">
        <w:t xml:space="preserve">platinum, </w:t>
      </w:r>
      <w:r>
        <w:t>gold or glassy carbon electrodes.</w:t>
      </w:r>
      <w:r w:rsidR="00873D32">
        <w:t xml:space="preserve"> </w:t>
      </w:r>
      <w:r>
        <w:t>Electrochemical studies, however, use a variety of electrodes, both in size and material, where these characteristics may play important roles in the reaction studied.</w:t>
      </w:r>
      <w:r w:rsidR="00623948">
        <w:t xml:space="preserve"> </w:t>
      </w:r>
      <w:r>
        <w:t xml:space="preserve">Therefore, the ability to perform spectroelectrochemical measurements in a cell where the working electrode can be adapted for the experiment is an </w:t>
      </w:r>
      <w:r w:rsidR="00095623">
        <w:t>essential</w:t>
      </w:r>
      <w:r>
        <w:t xml:space="preserve"> feature.</w:t>
      </w:r>
      <w:r w:rsidR="00B86CE9">
        <w:t xml:space="preserve"> </w:t>
      </w:r>
      <w:r>
        <w:t>Additive manufacturing, also known as 3D printing, is a versatile and low-cost method for producing tailored objects designed according to application and user needs</w:t>
      </w:r>
      <w:r w:rsidRPr="004C6FE4">
        <w:rPr>
          <w:vertAlign w:val="superscript"/>
        </w:rPr>
        <w:t>2</w:t>
      </w:r>
      <w:r>
        <w:t>.</w:t>
      </w:r>
      <w:r w:rsidR="00BC2A59">
        <w:t xml:space="preserve"> </w:t>
      </w:r>
      <w:r>
        <w:t>In this sense, we propose the design of a 3D printed SEC for confocal Raman spectroscopy, where parameters such as the printing material and working electrode (WE) type and size can be easily adjusted.</w:t>
      </w:r>
      <w:r w:rsidR="00D634A4">
        <w:t xml:space="preserve"> </w:t>
      </w:r>
      <w:r>
        <w:t>The cell uses a modular design with four main parts (Figure 1), where the WE platform can be easily adapted to meet the user’s needs.</w:t>
      </w:r>
      <w:r w:rsidR="001254E2">
        <w:t xml:space="preserve"> </w:t>
      </w:r>
      <w:r>
        <w:t xml:space="preserve">The designed cell was printed using both fused deposition modelling (FDM) and digital light processing (DLP), demonstrating the versatility of the printing technique and material. </w:t>
      </w:r>
      <w:r w:rsidR="003142DC" w:rsidRPr="003142DC">
        <w:t>Its application was successfully evaluated for well-known electrochemical systems, such as Prussian blue electrodeposition via chronoamperometry (Figure 2(a)) and probing of Prussian blue changes (Figure 2(b)).</w:t>
      </w:r>
    </w:p>
    <w:p w14:paraId="6F4666BD" w14:textId="552C29DD" w:rsidR="003142DC" w:rsidRDefault="003142DC" w:rsidP="003142DC">
      <w:pPr>
        <w:jc w:val="both"/>
        <w:sectPr w:rsidR="003142DC" w:rsidSect="00F97641">
          <w:footnotePr>
            <w:numRestart w:val="eachSect"/>
          </w:footnotePr>
          <w:endnotePr>
            <w:numFmt w:val="decimal"/>
          </w:endnotePr>
          <w:pgSz w:w="11907" w:h="16840" w:code="9"/>
          <w:pgMar w:top="1701" w:right="1701" w:bottom="1701" w:left="1701" w:header="567" w:footer="720" w:gutter="0"/>
          <w:cols w:space="720"/>
        </w:sectPr>
      </w:pPr>
    </w:p>
    <w:p w14:paraId="63F037B2" w14:textId="79E336E0" w:rsidR="0054202C" w:rsidRDefault="00932F38" w:rsidP="001B08A0">
      <w:r>
        <w:rPr>
          <w:noProof/>
          <w:snapToGrid/>
        </w:rPr>
        <w:drawing>
          <wp:anchor distT="0" distB="0" distL="114300" distR="114300" simplePos="0" relativeHeight="251653632" behindDoc="0" locked="0" layoutInCell="1" allowOverlap="1" wp14:anchorId="064605CC" wp14:editId="6357B54C">
            <wp:simplePos x="0" y="0"/>
            <wp:positionH relativeFrom="column">
              <wp:posOffset>-15240</wp:posOffset>
            </wp:positionH>
            <wp:positionV relativeFrom="paragraph">
              <wp:posOffset>54610</wp:posOffset>
            </wp:positionV>
            <wp:extent cx="3429635" cy="2650490"/>
            <wp:effectExtent l="0" t="0" r="0" b="0"/>
            <wp:wrapSquare wrapText="bothSides"/>
            <wp:docPr id="175751723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517234" name="Imagem 3"/>
                    <pic:cNvPicPr/>
                  </pic:nvPicPr>
                  <pic:blipFill>
                    <a:blip r:embed="rId4"/>
                    <a:srcRect l="13608" r="13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635" cy="2650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4312A7" w14:textId="671B7D5A" w:rsidR="0054202C" w:rsidRDefault="0054202C" w:rsidP="0054202C">
      <w:pPr>
        <w:jc w:val="center"/>
      </w:pPr>
    </w:p>
    <w:p w14:paraId="7BBFE9CB" w14:textId="7A86E6FE" w:rsidR="0054202C" w:rsidRDefault="0054202C" w:rsidP="0054202C">
      <w:pPr>
        <w:jc w:val="center"/>
      </w:pPr>
    </w:p>
    <w:p w14:paraId="250514B6" w14:textId="7A8DC5C2" w:rsidR="0054202C" w:rsidRDefault="0054202C" w:rsidP="0054202C">
      <w:pPr>
        <w:jc w:val="center"/>
      </w:pPr>
    </w:p>
    <w:p w14:paraId="4EE9ADA9" w14:textId="77777777" w:rsidR="006406FC" w:rsidRDefault="006406FC" w:rsidP="001B08A0">
      <w:pPr>
        <w:jc w:val="both"/>
      </w:pPr>
    </w:p>
    <w:p w14:paraId="7A77053A" w14:textId="39A76281" w:rsidR="0054202C" w:rsidRDefault="0054202C" w:rsidP="001B08A0">
      <w:pPr>
        <w:jc w:val="both"/>
      </w:pPr>
      <w:r w:rsidRPr="006406FC">
        <w:rPr>
          <w:b/>
          <w:bCs/>
        </w:rPr>
        <w:t>Figure 1</w:t>
      </w:r>
      <w:r>
        <w:t>: (a-e) SEC design and (f) SEC in use.</w:t>
      </w:r>
    </w:p>
    <w:p w14:paraId="7E5252B9" w14:textId="4D54703D" w:rsidR="0054202C" w:rsidRDefault="0054202C" w:rsidP="0054202C">
      <w:pPr>
        <w:jc w:val="center"/>
      </w:pPr>
    </w:p>
    <w:p w14:paraId="3F091471" w14:textId="6A118501" w:rsidR="0054202C" w:rsidRDefault="0054202C" w:rsidP="00AA6610"/>
    <w:p w14:paraId="30287861" w14:textId="79FFEA73" w:rsidR="00765DA6" w:rsidRDefault="00765DA6" w:rsidP="0054202C">
      <w:pPr>
        <w:jc w:val="center"/>
      </w:pPr>
    </w:p>
    <w:p w14:paraId="7D08AA58" w14:textId="5DB21E88" w:rsidR="0054202C" w:rsidRDefault="0054202C" w:rsidP="0054202C">
      <w:pPr>
        <w:jc w:val="center"/>
      </w:pPr>
    </w:p>
    <w:p w14:paraId="3CF26026" w14:textId="77777777" w:rsidR="0054202C" w:rsidRDefault="0054202C" w:rsidP="0054202C">
      <w:pPr>
        <w:jc w:val="center"/>
      </w:pPr>
    </w:p>
    <w:p w14:paraId="0A0571A9" w14:textId="456BBC38" w:rsidR="002F3C2D" w:rsidRPr="00D45335" w:rsidRDefault="006406FC" w:rsidP="00765DA6">
      <w:pPr>
        <w:sectPr w:rsidR="002F3C2D" w:rsidRPr="00D45335" w:rsidSect="001B08A0">
          <w:footnotePr>
            <w:numRestart w:val="eachSect"/>
          </w:footnotePr>
          <w:endnotePr>
            <w:numFmt w:val="decimal"/>
          </w:endnotePr>
          <w:type w:val="continuous"/>
          <w:pgSz w:w="11907" w:h="16840" w:code="9"/>
          <w:pgMar w:top="1701" w:right="1701" w:bottom="1701" w:left="1701" w:header="567" w:footer="720" w:gutter="0"/>
          <w:cols w:space="285"/>
        </w:sectPr>
      </w:pPr>
      <w:r>
        <w:rPr>
          <w:b/>
          <w:bCs/>
        </w:rPr>
        <w:t xml:space="preserve"> </w:t>
      </w:r>
      <w:r w:rsidR="00D400B0" w:rsidRPr="006406FC">
        <w:rPr>
          <w:b/>
          <w:bCs/>
        </w:rPr>
        <w:t>Figure 2:</w:t>
      </w:r>
      <w:r w:rsidR="00D400B0">
        <w:t xml:space="preserve"> Time-resolved Raman spectra for (a) electrodeposition and (b) CV of the Prussian blue.</w:t>
      </w:r>
    </w:p>
    <w:p w14:paraId="7AE04D61" w14:textId="77777777" w:rsidR="002F3C2D" w:rsidRPr="009C0921" w:rsidRDefault="002F3C2D" w:rsidP="00E0716D">
      <w:pPr>
        <w:jc w:val="both"/>
        <w:rPr>
          <w:b/>
          <w:bCs/>
          <w:sz w:val="10"/>
          <w:szCs w:val="10"/>
        </w:rPr>
        <w:sectPr w:rsidR="002F3C2D" w:rsidRPr="009C0921" w:rsidSect="002F3C2D">
          <w:footnotePr>
            <w:numRestart w:val="eachSect"/>
          </w:footnotePr>
          <w:endnotePr>
            <w:numFmt w:val="decimal"/>
          </w:endnotePr>
          <w:type w:val="continuous"/>
          <w:pgSz w:w="11907" w:h="16840" w:code="9"/>
          <w:pgMar w:top="1701" w:right="1701" w:bottom="1701" w:left="1701" w:header="567" w:footer="720" w:gutter="0"/>
          <w:cols w:space="720"/>
        </w:sectPr>
      </w:pPr>
    </w:p>
    <w:p w14:paraId="5238ACEE" w14:textId="77777777" w:rsidR="00461143" w:rsidRPr="00461143" w:rsidRDefault="00461143" w:rsidP="00E0716D">
      <w:pPr>
        <w:jc w:val="both"/>
        <w:rPr>
          <w:b/>
          <w:bCs/>
          <w:sz w:val="10"/>
          <w:szCs w:val="10"/>
        </w:rPr>
      </w:pPr>
    </w:p>
    <w:p w14:paraId="35D59BC0" w14:textId="77777777" w:rsidR="006406FC" w:rsidRDefault="006406FC" w:rsidP="00E0716D">
      <w:pPr>
        <w:jc w:val="both"/>
        <w:rPr>
          <w:b/>
          <w:bCs/>
        </w:rPr>
      </w:pPr>
    </w:p>
    <w:p w14:paraId="77B61BB0" w14:textId="77777777" w:rsidR="00256B54" w:rsidRDefault="00256B54" w:rsidP="00E0716D">
      <w:pPr>
        <w:jc w:val="both"/>
        <w:rPr>
          <w:b/>
          <w:bCs/>
        </w:rPr>
      </w:pPr>
    </w:p>
    <w:p w14:paraId="6193978D" w14:textId="77777777" w:rsidR="00256B54" w:rsidRDefault="00256B54" w:rsidP="00E0716D">
      <w:pPr>
        <w:jc w:val="both"/>
        <w:rPr>
          <w:b/>
          <w:bCs/>
        </w:rPr>
      </w:pPr>
    </w:p>
    <w:p w14:paraId="6AAC645C" w14:textId="77777777" w:rsidR="006406FC" w:rsidRDefault="006406FC" w:rsidP="00E0716D">
      <w:pPr>
        <w:jc w:val="both"/>
        <w:rPr>
          <w:b/>
          <w:bCs/>
        </w:rPr>
      </w:pPr>
    </w:p>
    <w:p w14:paraId="270F33E7" w14:textId="72932078" w:rsidR="00325004" w:rsidRPr="00D400B0" w:rsidRDefault="00085E98" w:rsidP="00E0716D">
      <w:pPr>
        <w:jc w:val="both"/>
        <w:rPr>
          <w:b/>
          <w:bCs/>
        </w:rPr>
      </w:pPr>
      <w:r w:rsidRPr="00D400B0">
        <w:rPr>
          <w:b/>
          <w:bCs/>
        </w:rPr>
        <w:t>R</w:t>
      </w:r>
      <w:r w:rsidR="009674B8" w:rsidRPr="00D400B0">
        <w:rPr>
          <w:b/>
          <w:bCs/>
        </w:rPr>
        <w:t>eferences</w:t>
      </w:r>
    </w:p>
    <w:p w14:paraId="32D035A9" w14:textId="6CFBD6AC" w:rsidR="004C6FE4" w:rsidRPr="00D400B0" w:rsidRDefault="004C6FE4" w:rsidP="002906A1">
      <w:pPr>
        <w:pStyle w:val="Bibliografia"/>
        <w:spacing w:line="240" w:lineRule="auto"/>
        <w:jc w:val="both"/>
      </w:pPr>
      <w:r w:rsidRPr="00D400B0">
        <w:t>1.</w:t>
      </w:r>
      <w:r w:rsidRPr="00D400B0">
        <w:tab/>
        <w:t xml:space="preserve">Zhai, Y., Zhu, Z., Zhou, S., Zhu, C. &amp; Dong, S. </w:t>
      </w:r>
      <w:r w:rsidRPr="00D400B0">
        <w:rPr>
          <w:i/>
          <w:iCs/>
        </w:rPr>
        <w:t>Nanoscale</w:t>
      </w:r>
      <w:r w:rsidRPr="00D400B0">
        <w:t xml:space="preserve"> </w:t>
      </w:r>
      <w:r w:rsidRPr="00D400B0">
        <w:rPr>
          <w:b/>
          <w:bCs/>
        </w:rPr>
        <w:t>10</w:t>
      </w:r>
      <w:r w:rsidRPr="00D400B0">
        <w:t>, 3089–3111 (2018).</w:t>
      </w:r>
    </w:p>
    <w:p w14:paraId="78A751C2" w14:textId="6ECB2476" w:rsidR="004C6FE4" w:rsidRDefault="004C6FE4" w:rsidP="002906A1">
      <w:pPr>
        <w:pStyle w:val="Bibliografia"/>
        <w:spacing w:line="240" w:lineRule="auto"/>
        <w:jc w:val="both"/>
      </w:pPr>
      <w:r w:rsidRPr="00D400B0">
        <w:t>2.</w:t>
      </w:r>
      <w:r w:rsidRPr="00D400B0">
        <w:tab/>
        <w:t xml:space="preserve">Pereira, M. V., Datti, E., Alvarenga, G. R., Janegitz, B. C. &amp; Bonacin, J. A. </w:t>
      </w:r>
      <w:r w:rsidRPr="00D400B0">
        <w:rPr>
          <w:i/>
          <w:iCs/>
        </w:rPr>
        <w:t>Microchemical Journal</w:t>
      </w:r>
      <w:r w:rsidRPr="00D400B0">
        <w:t xml:space="preserve"> </w:t>
      </w:r>
      <w:r w:rsidRPr="00D400B0">
        <w:rPr>
          <w:b/>
          <w:bCs/>
        </w:rPr>
        <w:t>183</w:t>
      </w:r>
      <w:r w:rsidRPr="00D400B0">
        <w:t>, 108083 (2022).</w:t>
      </w:r>
    </w:p>
    <w:p w14:paraId="32FFDD4D" w14:textId="77777777" w:rsidR="00932F38" w:rsidRDefault="00932F38" w:rsidP="00932F38"/>
    <w:p w14:paraId="3F958382" w14:textId="77777777" w:rsidR="00256B54" w:rsidRPr="00932F38" w:rsidRDefault="00256B54" w:rsidP="00932F38"/>
    <w:p w14:paraId="336A2C43" w14:textId="517412A3" w:rsidR="008415AF" w:rsidRPr="00D400B0" w:rsidRDefault="008415AF" w:rsidP="004C6FE4">
      <w:pPr>
        <w:jc w:val="both"/>
        <w:rPr>
          <w:b/>
          <w:bCs/>
          <w:sz w:val="10"/>
          <w:szCs w:val="10"/>
        </w:rPr>
      </w:pPr>
    </w:p>
    <w:p w14:paraId="70062096" w14:textId="3C97DA6B" w:rsidR="008415AF" w:rsidRPr="00D400B0" w:rsidRDefault="008415AF" w:rsidP="00E0716D">
      <w:pPr>
        <w:jc w:val="both"/>
        <w:rPr>
          <w:b/>
          <w:bCs/>
        </w:rPr>
      </w:pPr>
      <w:r w:rsidRPr="00D400B0">
        <w:rPr>
          <w:b/>
          <w:bCs/>
        </w:rPr>
        <w:t>Acknowledgements</w:t>
      </w:r>
    </w:p>
    <w:p w14:paraId="5BAE4E5E" w14:textId="27D69639" w:rsidR="00602FE4" w:rsidRPr="00D400B0" w:rsidRDefault="00D400B0" w:rsidP="00D400B0">
      <w:pPr>
        <w:jc w:val="both"/>
      </w:pPr>
      <w:r w:rsidRPr="00D400B0">
        <w:t>This study was financed in part by the Coordenação de Aperfeiçoamento de Pessoal de Nível Superior, Brasil (CAPES) - Finance Code 001.</w:t>
      </w:r>
      <w:r w:rsidR="00C9708D" w:rsidRPr="00D400B0">
        <w:t xml:space="preserve"> </w:t>
      </w:r>
      <w:r>
        <w:t xml:space="preserve">CNPq: </w:t>
      </w:r>
      <w:r w:rsidRPr="00D400B0">
        <w:t>303605/2024-3</w:t>
      </w:r>
      <w:r>
        <w:t xml:space="preserve">, FAPESP: </w:t>
      </w:r>
      <w:r>
        <w:t>2025/03058-7</w:t>
      </w:r>
      <w:r>
        <w:t xml:space="preserve"> and </w:t>
      </w:r>
      <w:r w:rsidRPr="00D400B0">
        <w:t>2024/09666-6</w:t>
      </w:r>
      <w:r>
        <w:t xml:space="preserve">, </w:t>
      </w:r>
    </w:p>
    <w:sectPr w:rsidR="00602FE4" w:rsidRPr="00D400B0" w:rsidSect="002F3C2D">
      <w:footnotePr>
        <w:numRestart w:val="eachSect"/>
      </w:footnotePr>
      <w:endnotePr>
        <w:numFmt w:val="decimal"/>
      </w:endnotePr>
      <w:type w:val="continuous"/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06702"/>
    <w:rsid w:val="00030D75"/>
    <w:rsid w:val="00032000"/>
    <w:rsid w:val="000350DA"/>
    <w:rsid w:val="0004102A"/>
    <w:rsid w:val="00041EFD"/>
    <w:rsid w:val="00084A94"/>
    <w:rsid w:val="00085E98"/>
    <w:rsid w:val="00095623"/>
    <w:rsid w:val="00096DD1"/>
    <w:rsid w:val="000A01C0"/>
    <w:rsid w:val="000B118C"/>
    <w:rsid w:val="000C26C2"/>
    <w:rsid w:val="000C4BC7"/>
    <w:rsid w:val="001254E2"/>
    <w:rsid w:val="0014525B"/>
    <w:rsid w:val="001631F3"/>
    <w:rsid w:val="00171969"/>
    <w:rsid w:val="00172A83"/>
    <w:rsid w:val="001759BA"/>
    <w:rsid w:val="00176699"/>
    <w:rsid w:val="00180C16"/>
    <w:rsid w:val="00194154"/>
    <w:rsid w:val="001B08A0"/>
    <w:rsid w:val="001E75EB"/>
    <w:rsid w:val="0021716D"/>
    <w:rsid w:val="00235F91"/>
    <w:rsid w:val="002545B6"/>
    <w:rsid w:val="00254738"/>
    <w:rsid w:val="00256B54"/>
    <w:rsid w:val="002873A8"/>
    <w:rsid w:val="002906A1"/>
    <w:rsid w:val="002A1ECD"/>
    <w:rsid w:val="002B27D9"/>
    <w:rsid w:val="002B29A0"/>
    <w:rsid w:val="002C0293"/>
    <w:rsid w:val="002C5353"/>
    <w:rsid w:val="002E5E5F"/>
    <w:rsid w:val="002F246A"/>
    <w:rsid w:val="002F3C2D"/>
    <w:rsid w:val="003142DC"/>
    <w:rsid w:val="00325004"/>
    <w:rsid w:val="00333D52"/>
    <w:rsid w:val="003554F8"/>
    <w:rsid w:val="00357E83"/>
    <w:rsid w:val="00364D2C"/>
    <w:rsid w:val="00377A7D"/>
    <w:rsid w:val="00396660"/>
    <w:rsid w:val="003A1177"/>
    <w:rsid w:val="003A2D5E"/>
    <w:rsid w:val="003B09D7"/>
    <w:rsid w:val="003B3EE7"/>
    <w:rsid w:val="003B5E3A"/>
    <w:rsid w:val="00461143"/>
    <w:rsid w:val="004C6FE4"/>
    <w:rsid w:val="004E2312"/>
    <w:rsid w:val="00505E3C"/>
    <w:rsid w:val="00516F84"/>
    <w:rsid w:val="0053290A"/>
    <w:rsid w:val="00536366"/>
    <w:rsid w:val="0054202C"/>
    <w:rsid w:val="005506E0"/>
    <w:rsid w:val="00556D1F"/>
    <w:rsid w:val="00562D1F"/>
    <w:rsid w:val="00574A32"/>
    <w:rsid w:val="005C19C1"/>
    <w:rsid w:val="005C634A"/>
    <w:rsid w:val="00601CD9"/>
    <w:rsid w:val="00602F2F"/>
    <w:rsid w:val="00602FE4"/>
    <w:rsid w:val="006057A2"/>
    <w:rsid w:val="00614969"/>
    <w:rsid w:val="00623948"/>
    <w:rsid w:val="00632091"/>
    <w:rsid w:val="00633CC3"/>
    <w:rsid w:val="0063442F"/>
    <w:rsid w:val="006406FC"/>
    <w:rsid w:val="00651C30"/>
    <w:rsid w:val="00671B8F"/>
    <w:rsid w:val="006808E0"/>
    <w:rsid w:val="00685C1A"/>
    <w:rsid w:val="00687B7E"/>
    <w:rsid w:val="00696392"/>
    <w:rsid w:val="00697190"/>
    <w:rsid w:val="006A5026"/>
    <w:rsid w:val="006A50C7"/>
    <w:rsid w:val="006A6800"/>
    <w:rsid w:val="006B3D4C"/>
    <w:rsid w:val="006C0E48"/>
    <w:rsid w:val="006D22FC"/>
    <w:rsid w:val="006E4AC3"/>
    <w:rsid w:val="00702DE8"/>
    <w:rsid w:val="00716AB3"/>
    <w:rsid w:val="00765DA6"/>
    <w:rsid w:val="00772007"/>
    <w:rsid w:val="00790AF6"/>
    <w:rsid w:val="007B0DBA"/>
    <w:rsid w:val="007B19E7"/>
    <w:rsid w:val="007B7450"/>
    <w:rsid w:val="007D405B"/>
    <w:rsid w:val="00824B6E"/>
    <w:rsid w:val="008415AF"/>
    <w:rsid w:val="0085663C"/>
    <w:rsid w:val="00867439"/>
    <w:rsid w:val="00873D32"/>
    <w:rsid w:val="008745CA"/>
    <w:rsid w:val="008A5248"/>
    <w:rsid w:val="008B3B14"/>
    <w:rsid w:val="008B5598"/>
    <w:rsid w:val="0090135B"/>
    <w:rsid w:val="00907C38"/>
    <w:rsid w:val="0092175A"/>
    <w:rsid w:val="009328EC"/>
    <w:rsid w:val="00932F38"/>
    <w:rsid w:val="009674B8"/>
    <w:rsid w:val="0099203E"/>
    <w:rsid w:val="009C0921"/>
    <w:rsid w:val="009C417A"/>
    <w:rsid w:val="009E0D62"/>
    <w:rsid w:val="009F2E24"/>
    <w:rsid w:val="009F7809"/>
    <w:rsid w:val="00A02A30"/>
    <w:rsid w:val="00A22538"/>
    <w:rsid w:val="00A27021"/>
    <w:rsid w:val="00A431CA"/>
    <w:rsid w:val="00A800C3"/>
    <w:rsid w:val="00A84C9F"/>
    <w:rsid w:val="00A96EE2"/>
    <w:rsid w:val="00AA1729"/>
    <w:rsid w:val="00AA3183"/>
    <w:rsid w:val="00AA6610"/>
    <w:rsid w:val="00AE400A"/>
    <w:rsid w:val="00B04B7D"/>
    <w:rsid w:val="00B25AB4"/>
    <w:rsid w:val="00B37F1E"/>
    <w:rsid w:val="00B4686B"/>
    <w:rsid w:val="00B86CE9"/>
    <w:rsid w:val="00B879D0"/>
    <w:rsid w:val="00BA014F"/>
    <w:rsid w:val="00BA0BF1"/>
    <w:rsid w:val="00BC2A59"/>
    <w:rsid w:val="00BC75D2"/>
    <w:rsid w:val="00BD0C2F"/>
    <w:rsid w:val="00C46CEE"/>
    <w:rsid w:val="00C767EA"/>
    <w:rsid w:val="00C77429"/>
    <w:rsid w:val="00C910DD"/>
    <w:rsid w:val="00C961FC"/>
    <w:rsid w:val="00C9708D"/>
    <w:rsid w:val="00CC4CD7"/>
    <w:rsid w:val="00CC5EEA"/>
    <w:rsid w:val="00CD7B75"/>
    <w:rsid w:val="00D12FE4"/>
    <w:rsid w:val="00D400B0"/>
    <w:rsid w:val="00D45335"/>
    <w:rsid w:val="00D52A3E"/>
    <w:rsid w:val="00D609BC"/>
    <w:rsid w:val="00D62EF6"/>
    <w:rsid w:val="00D634A4"/>
    <w:rsid w:val="00D838D8"/>
    <w:rsid w:val="00DE34BE"/>
    <w:rsid w:val="00DE713C"/>
    <w:rsid w:val="00DF39D9"/>
    <w:rsid w:val="00DF68A1"/>
    <w:rsid w:val="00E03D5E"/>
    <w:rsid w:val="00E0716D"/>
    <w:rsid w:val="00E31BE7"/>
    <w:rsid w:val="00E52DD3"/>
    <w:rsid w:val="00E96B36"/>
    <w:rsid w:val="00EB2D6D"/>
    <w:rsid w:val="00EB3A46"/>
    <w:rsid w:val="00EB597A"/>
    <w:rsid w:val="00EE30C8"/>
    <w:rsid w:val="00EF3189"/>
    <w:rsid w:val="00F33910"/>
    <w:rsid w:val="00F442BA"/>
    <w:rsid w:val="00F97641"/>
    <w:rsid w:val="00FD0E1B"/>
    <w:rsid w:val="00FD13D0"/>
    <w:rsid w:val="00FD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F33DE"/>
  <w14:defaultImageDpi w14:val="300"/>
  <w15:docId w15:val="{1D7DE662-4D65-4E46-A183-257D74B4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2175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2175A"/>
    <w:rPr>
      <w:color w:val="605E5C"/>
      <w:shd w:val="clear" w:color="auto" w:fill="E1DFDD"/>
    </w:rPr>
  </w:style>
  <w:style w:type="character" w:styleId="Nmerodelinha">
    <w:name w:val="line number"/>
    <w:basedOn w:val="Fontepargpadro"/>
    <w:uiPriority w:val="99"/>
    <w:semiHidden/>
    <w:unhideWhenUsed/>
    <w:rsid w:val="005C634A"/>
  </w:style>
  <w:style w:type="paragraph" w:styleId="Bibliografia">
    <w:name w:val="Bibliography"/>
    <w:basedOn w:val="Normal"/>
    <w:next w:val="Normal"/>
    <w:uiPriority w:val="37"/>
    <w:unhideWhenUsed/>
    <w:rsid w:val="00364D2C"/>
    <w:pPr>
      <w:tabs>
        <w:tab w:val="left" w:pos="264"/>
      </w:tabs>
      <w:spacing w:line="480" w:lineRule="auto"/>
      <w:ind w:left="264" w:hanging="264"/>
    </w:pPr>
  </w:style>
  <w:style w:type="character" w:styleId="TextodoEspaoReservado">
    <w:name w:val="Placeholder Text"/>
    <w:basedOn w:val="Fontepargpadro"/>
    <w:uiPriority w:val="99"/>
    <w:semiHidden/>
    <w:rsid w:val="00D400B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14140C8-B197-4A68-8700-B6B4DFDDFA94}">
  <we:reference id="wa200001361" version="2.129.3.0" store="pt-BR" storeType="OMEX"/>
  <we:alternateReferences>
    <we:reference id="WA200001361" version="2.129.3.0" store="" storeType="OMEX"/>
  </we:alternateReferences>
  <we:properties>
    <we:property name="paperpal-document-id" value="&quot;83564226-b1f1-4034-b0c6-cc7c4312f632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409</Words>
  <Characters>2442</Characters>
  <Application>Microsoft Office Word</Application>
  <DocSecurity>0</DocSecurity>
  <Lines>55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Juliano Bonacin</cp:lastModifiedBy>
  <cp:revision>4</cp:revision>
  <cp:lastPrinted>2013-10-21T12:07:00Z</cp:lastPrinted>
  <dcterms:created xsi:type="dcterms:W3CDTF">2026-05-29T15:13:00Z</dcterms:created>
  <dcterms:modified xsi:type="dcterms:W3CDTF">2026-05-29T15:15:00Z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zotero-version="9.0.4"&gt;&lt;session id="egwJ0y1k"/&gt;&lt;style id="http://www.zotero.org/styles/nature" hasBibliography="1" bibliographyStyleHasBeenSet="1"/&gt;&lt;prefs&gt;&lt;pref name="fieldType" value="Field"/&gt;&lt;/prefs&gt;&lt;/data&gt;</vt:lpwstr>
  </property>
</Properties>
</file>