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3FC0C6" w14:textId="510FB2F0" w:rsidR="00325004" w:rsidRPr="00A86EB9" w:rsidRDefault="001422EE" w:rsidP="00E0716D">
      <w:pPr>
        <w:jc w:val="center"/>
        <w:rPr>
          <w:b/>
          <w:sz w:val="28"/>
        </w:rPr>
      </w:pPr>
      <w:r w:rsidRPr="001422EE">
        <w:rPr>
          <w:b/>
          <w:sz w:val="28"/>
        </w:rPr>
        <w:t>Inkjet-Printed Organic Electrochemical Transistor Biosensors</w:t>
      </w:r>
      <w:r>
        <w:rPr>
          <w:b/>
          <w:sz w:val="28"/>
        </w:rPr>
        <w:t xml:space="preserve"> </w:t>
      </w:r>
    </w:p>
    <w:p w14:paraId="10D31E82" w14:textId="77777777" w:rsidR="00325004" w:rsidRPr="00A86EB9" w:rsidRDefault="00325004" w:rsidP="00E0716D">
      <w:pPr>
        <w:jc w:val="center"/>
        <w:rPr>
          <w:b/>
          <w:sz w:val="28"/>
        </w:rPr>
      </w:pPr>
    </w:p>
    <w:p w14:paraId="465759E3" w14:textId="202046A3" w:rsidR="001422EE" w:rsidRPr="00E17DF1" w:rsidRDefault="001422EE" w:rsidP="001422EE">
      <w:pPr>
        <w:jc w:val="center"/>
        <w:rPr>
          <w:rFonts w:eastAsia="Times New Roman"/>
        </w:rPr>
      </w:pPr>
      <w:r>
        <w:rPr>
          <w:rFonts w:eastAsia="Times New Roman"/>
        </w:rPr>
        <w:t>Q</w:t>
      </w:r>
      <w:r w:rsidRPr="00E17DF1">
        <w:rPr>
          <w:rFonts w:eastAsia="Times New Roman" w:hint="eastAsia"/>
        </w:rPr>
        <w:t>ianqian</w:t>
      </w:r>
      <w:r w:rsidRPr="00E17DF1">
        <w:rPr>
          <w:rFonts w:eastAsia="Times New Roman"/>
        </w:rPr>
        <w:t xml:space="preserve"> L</w:t>
      </w:r>
      <w:r w:rsidRPr="00E17DF1">
        <w:rPr>
          <w:rFonts w:eastAsia="Times New Roman" w:hint="eastAsia"/>
        </w:rPr>
        <w:t>i</w:t>
      </w:r>
      <w:r>
        <w:rPr>
          <w:rFonts w:eastAsia="Times New Roman"/>
        </w:rPr>
        <w:t xml:space="preserve"> </w:t>
      </w:r>
      <w:r w:rsidRPr="00E17DF1">
        <w:rPr>
          <w:rFonts w:eastAsia="Times New Roman"/>
          <w:vertAlign w:val="superscript"/>
        </w:rPr>
        <w:t>a</w:t>
      </w:r>
      <w:r>
        <w:rPr>
          <w:rFonts w:eastAsia="Times New Roman"/>
        </w:rPr>
        <w:t xml:space="preserve">, </w:t>
      </w:r>
      <w:r w:rsidRPr="00955421">
        <w:rPr>
          <w:rFonts w:eastAsia="Times New Roman"/>
        </w:rPr>
        <w:t xml:space="preserve">Mohsen Khodadadi </w:t>
      </w:r>
      <w:proofErr w:type="spellStart"/>
      <w:r w:rsidRPr="00955421">
        <w:rPr>
          <w:rFonts w:eastAsia="Times New Roman"/>
        </w:rPr>
        <w:t>Yazdi</w:t>
      </w:r>
      <w:proofErr w:type="spellEnd"/>
      <w:r w:rsidRPr="00E17DF1">
        <w:rPr>
          <w:rFonts w:eastAsia="Times New Roman"/>
        </w:rPr>
        <w:t xml:space="preserve"> </w:t>
      </w:r>
      <w:r w:rsidRPr="00E17DF1">
        <w:rPr>
          <w:rFonts w:eastAsia="Times New Roman"/>
          <w:vertAlign w:val="superscript"/>
        </w:rPr>
        <w:t>a</w:t>
      </w:r>
      <w:r>
        <w:rPr>
          <w:rFonts w:eastAsia="Times New Roman"/>
        </w:rPr>
        <w:t>,  J</w:t>
      </w:r>
      <w:r w:rsidRPr="00E17DF1">
        <w:rPr>
          <w:rFonts w:eastAsia="Times New Roman" w:hint="eastAsia"/>
        </w:rPr>
        <w:t>acek</w:t>
      </w:r>
      <w:r>
        <w:rPr>
          <w:rFonts w:eastAsia="Times New Roman"/>
        </w:rPr>
        <w:t xml:space="preserve"> </w:t>
      </w:r>
      <w:proofErr w:type="spellStart"/>
      <w:r>
        <w:rPr>
          <w:rFonts w:eastAsia="Times New Roman"/>
        </w:rPr>
        <w:t>R</w:t>
      </w:r>
      <w:r w:rsidRPr="00E17DF1">
        <w:rPr>
          <w:rFonts w:eastAsia="Times New Roman" w:hint="eastAsia"/>
        </w:rPr>
        <w:t>yl</w:t>
      </w:r>
      <w:proofErr w:type="spellEnd"/>
      <w:r>
        <w:rPr>
          <w:rFonts w:eastAsia="Times New Roman"/>
          <w:vertAlign w:val="superscript"/>
        </w:rPr>
        <w:t xml:space="preserve"> </w:t>
      </w:r>
      <w:r w:rsidRPr="00E17DF1">
        <w:rPr>
          <w:rFonts w:eastAsia="Times New Roman"/>
          <w:vertAlign w:val="superscript"/>
        </w:rPr>
        <w:t>a</w:t>
      </w:r>
    </w:p>
    <w:p w14:paraId="0E462C02" w14:textId="16834E16" w:rsidR="00325004" w:rsidRDefault="00325004" w:rsidP="00E0716D">
      <w:pPr>
        <w:jc w:val="center"/>
        <w:rPr>
          <w:vertAlign w:val="superscript"/>
        </w:rPr>
      </w:pPr>
    </w:p>
    <w:p w14:paraId="3DC9808E" w14:textId="1EBFC6CA" w:rsidR="00E82CA3" w:rsidRPr="00E82CA3" w:rsidRDefault="00E82CA3" w:rsidP="00E0716D">
      <w:pPr>
        <w:jc w:val="center"/>
      </w:pPr>
    </w:p>
    <w:p w14:paraId="351306D8" w14:textId="2C71D359" w:rsidR="00325004" w:rsidRPr="00E82CA3" w:rsidRDefault="00E82CA3" w:rsidP="00E0716D">
      <w:pPr>
        <w:jc w:val="center"/>
        <w:rPr>
          <w:i/>
          <w:sz w:val="18"/>
          <w:szCs w:val="18"/>
        </w:rPr>
      </w:pPr>
      <w:r w:rsidRPr="00E82CA3">
        <w:rPr>
          <w:i/>
          <w:sz w:val="18"/>
          <w:szCs w:val="18"/>
          <w:vertAlign w:val="superscript"/>
        </w:rPr>
        <w:t xml:space="preserve">a </w:t>
      </w:r>
      <w:proofErr w:type="spellStart"/>
      <w:r w:rsidR="001422EE" w:rsidRPr="001422EE">
        <w:rPr>
          <w:i/>
          <w:sz w:val="18"/>
          <w:szCs w:val="18"/>
        </w:rPr>
        <w:t>Gdańsk</w:t>
      </w:r>
      <w:proofErr w:type="spellEnd"/>
      <w:r w:rsidR="001422EE" w:rsidRPr="001422EE">
        <w:rPr>
          <w:i/>
          <w:sz w:val="18"/>
          <w:szCs w:val="18"/>
        </w:rPr>
        <w:t xml:space="preserve"> University of Technology, </w:t>
      </w:r>
      <w:proofErr w:type="spellStart"/>
      <w:r w:rsidR="001422EE" w:rsidRPr="001422EE">
        <w:rPr>
          <w:i/>
          <w:sz w:val="18"/>
          <w:szCs w:val="18"/>
        </w:rPr>
        <w:t>Narutowicza</w:t>
      </w:r>
      <w:proofErr w:type="spellEnd"/>
      <w:r w:rsidR="001422EE" w:rsidRPr="001422EE">
        <w:rPr>
          <w:i/>
          <w:sz w:val="18"/>
          <w:szCs w:val="18"/>
        </w:rPr>
        <w:t xml:space="preserve"> 11/12, 80-233 </w:t>
      </w:r>
      <w:proofErr w:type="spellStart"/>
      <w:r w:rsidR="001422EE" w:rsidRPr="001422EE">
        <w:rPr>
          <w:i/>
          <w:sz w:val="18"/>
          <w:szCs w:val="18"/>
        </w:rPr>
        <w:t>Gdańsk</w:t>
      </w:r>
      <w:proofErr w:type="spellEnd"/>
      <w:r w:rsidR="001422EE" w:rsidRPr="001422EE">
        <w:rPr>
          <w:i/>
          <w:sz w:val="18"/>
          <w:szCs w:val="18"/>
        </w:rPr>
        <w:t>, Poland</w:t>
      </w:r>
    </w:p>
    <w:p w14:paraId="5FC9B22D" w14:textId="199D9155" w:rsidR="00685C1A" w:rsidRPr="00E82CA3" w:rsidRDefault="001422EE" w:rsidP="00E0716D">
      <w:pPr>
        <w:jc w:val="center"/>
        <w:rPr>
          <w:i/>
          <w:sz w:val="18"/>
          <w:szCs w:val="18"/>
        </w:rPr>
      </w:pPr>
      <w:r w:rsidRPr="001422EE">
        <w:rPr>
          <w:i/>
          <w:sz w:val="18"/>
          <w:szCs w:val="18"/>
        </w:rPr>
        <w:t>qianqian.li@pg.edu.pl</w:t>
      </w:r>
    </w:p>
    <w:p w14:paraId="57C54568" w14:textId="77777777" w:rsidR="00325004" w:rsidRDefault="00325004" w:rsidP="00E0716D">
      <w:pPr>
        <w:jc w:val="center"/>
      </w:pPr>
    </w:p>
    <w:p w14:paraId="64CFF8E5" w14:textId="27312002" w:rsidR="001422EE" w:rsidRDefault="001422EE" w:rsidP="001422EE">
      <w:pPr>
        <w:spacing w:after="100"/>
        <w:jc w:val="both"/>
        <w:rPr>
          <w:rFonts w:eastAsia="Times New Roman"/>
          <w:snapToGrid/>
          <w:lang w:eastAsia="zh-CN"/>
        </w:rPr>
      </w:pPr>
      <w:bookmarkStart w:id="0" w:name="_GoBack"/>
      <w:bookmarkEnd w:id="0"/>
      <w:r w:rsidRPr="001422EE">
        <w:rPr>
          <w:rFonts w:eastAsia="Times New Roman"/>
          <w:snapToGrid/>
          <w:lang w:eastAsia="zh-CN"/>
        </w:rPr>
        <w:t>Organic electrochemical transistors (OECTs) translate small changes at the gate interface into large modulations of channel current, an intrinsic amplification that makes them uniquely powerful transducers for low-voltage biosensing in aqueous media. Capturing this advantage on inexpensive, scalable hardware calls for fully additive fabrication of the transistor itself. Here we report an OECT patterned entirely by piezoelectric inkjet printing and use the device as an active platform on which the biorecognition interface can be both built and read out electrically</w:t>
      </w:r>
      <w:r>
        <w:rPr>
          <w:rFonts w:eastAsia="Times New Roman"/>
          <w:snapToGrid/>
          <w:lang w:eastAsia="zh-CN"/>
        </w:rPr>
        <w:t>.</w:t>
      </w:r>
    </w:p>
    <w:p w14:paraId="784653E2" w14:textId="77777777" w:rsidR="001422EE" w:rsidRPr="001422EE" w:rsidRDefault="001422EE" w:rsidP="001422EE">
      <w:pPr>
        <w:spacing w:after="100"/>
        <w:jc w:val="both"/>
        <w:rPr>
          <w:rFonts w:hint="eastAsia"/>
          <w:snapToGrid/>
          <w:lang w:eastAsia="zh-CN"/>
        </w:rPr>
      </w:pPr>
    </w:p>
    <w:p w14:paraId="198C5EAE" w14:textId="3D0D0D06" w:rsidR="001422EE" w:rsidRDefault="001422EE" w:rsidP="001422EE">
      <w:pPr>
        <w:spacing w:after="100"/>
        <w:jc w:val="both"/>
        <w:rPr>
          <w:rFonts w:eastAsia="Times New Roman"/>
          <w:snapToGrid/>
          <w:lang w:eastAsia="zh-CN"/>
        </w:rPr>
      </w:pPr>
      <w:r w:rsidRPr="001422EE">
        <w:rPr>
          <w:rFonts w:eastAsia="Times New Roman"/>
          <w:snapToGrid/>
          <w:lang w:eastAsia="zh-CN"/>
        </w:rPr>
        <w:t>Gold source, drain and gate contacts and a PEDOT:PSS mixed-conductor channel are printed and sintered on both rigid glass and flexible polyimide (PI) films, with no lithography or vacuum steps, so that the same additive process carries over from rigid to flexible supports. Printing every layer gives direct control over the active region: the number of printed passes, the ink formulation and the chemistry presented at the gate together set the volumetric capacitance and transconductance that govern the device gain, and therefore how strongly a binding event is amplified into the channel current. We exploit this control to turn the gate into a configurable recognition surface rather than a fixed electrode.</w:t>
      </w:r>
    </w:p>
    <w:p w14:paraId="38B965D6" w14:textId="77777777" w:rsidR="001422EE" w:rsidRPr="001422EE" w:rsidRDefault="001422EE" w:rsidP="001422EE">
      <w:pPr>
        <w:spacing w:after="100"/>
        <w:jc w:val="both"/>
        <w:rPr>
          <w:rFonts w:hint="eastAsia"/>
          <w:snapToGrid/>
          <w:lang w:eastAsia="zh-CN"/>
        </w:rPr>
      </w:pPr>
    </w:p>
    <w:p w14:paraId="39190BDC" w14:textId="77777777" w:rsidR="001422EE" w:rsidRPr="001422EE" w:rsidRDefault="001422EE" w:rsidP="001422EE">
      <w:pPr>
        <w:spacing w:after="100"/>
        <w:jc w:val="both"/>
        <w:rPr>
          <w:rFonts w:eastAsia="Times New Roman"/>
          <w:i/>
          <w:iCs/>
          <w:snapToGrid/>
          <w:lang w:eastAsia="zh-CN"/>
        </w:rPr>
      </w:pPr>
      <w:r w:rsidRPr="001422EE">
        <w:rPr>
          <w:rFonts w:eastAsia="Times New Roman"/>
          <w:snapToGrid/>
          <w:lang w:eastAsia="zh-CN"/>
        </w:rPr>
        <w:t>As recognition chemistries we draw on, but do not restrict ourselves to, two routes that both expose surface carboxyl groups for coupling a receptor: a carboxyl-</w:t>
      </w:r>
      <w:proofErr w:type="spellStart"/>
      <w:r w:rsidRPr="001422EE">
        <w:rPr>
          <w:rFonts w:eastAsia="Times New Roman"/>
          <w:snapToGrid/>
          <w:lang w:eastAsia="zh-CN"/>
        </w:rPr>
        <w:t>functionalised</w:t>
      </w:r>
      <w:proofErr w:type="spellEnd"/>
      <w:r w:rsidRPr="001422EE">
        <w:rPr>
          <w:rFonts w:eastAsia="Times New Roman"/>
          <w:snapToGrid/>
          <w:lang w:eastAsia="zh-CN"/>
        </w:rPr>
        <w:t xml:space="preserve"> PEDOT film, and an 11-mercaptoundecanoic acid (11-MUA) monolayer self-assembled on the gold gate. What the transistor adds is that each step  film growth, monolayer assembly and the subsequent attachment of the receptor – registers as a measurable, amplified shift in channel current, so the interface can be followed and corrected while it is being built rather than only inspected afterwards. We read the printed device against laser-induced graphene (LIG) electrodes prepared in parallel within the same project, treating the porous carbon as a high-surface-area point of comparison, and use the two together to work towards electrode arrays that resolve several targets in real samples.</w:t>
      </w:r>
    </w:p>
    <w:p w14:paraId="0FB4577A" w14:textId="77777777" w:rsidR="00325004" w:rsidRDefault="00325004" w:rsidP="00E0716D">
      <w:pPr>
        <w:jc w:val="both"/>
      </w:pPr>
    </w:p>
    <w:p w14:paraId="71147B2F" w14:textId="4F2FA2DC" w:rsidR="00E0716D" w:rsidRDefault="006B453B" w:rsidP="00E0716D">
      <w:pPr>
        <w:jc w:val="both"/>
      </w:pPr>
      <w:r>
        <w:t xml:space="preserve">Acknowledgement: </w:t>
      </w:r>
      <w:r w:rsidRPr="006B453B">
        <w:t>This work was supported by the National Science Centre (Republic of Poland) under Project 2023/51/I/ST7/01948</w:t>
      </w: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275D0B" w14:textId="77777777" w:rsidR="00840950" w:rsidRDefault="00840950" w:rsidP="001422EE">
      <w:r>
        <w:separator/>
      </w:r>
    </w:p>
  </w:endnote>
  <w:endnote w:type="continuationSeparator" w:id="0">
    <w:p w14:paraId="65F02A82" w14:textId="77777777" w:rsidR="00840950" w:rsidRDefault="00840950" w:rsidP="00142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MT"/>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7C9385" w14:textId="77777777" w:rsidR="00840950" w:rsidRDefault="00840950" w:rsidP="001422EE">
      <w:r>
        <w:separator/>
      </w:r>
    </w:p>
  </w:footnote>
  <w:footnote w:type="continuationSeparator" w:id="0">
    <w:p w14:paraId="7115AB46" w14:textId="77777777" w:rsidR="00840950" w:rsidRDefault="00840950" w:rsidP="001422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A155C"/>
    <w:rsid w:val="001422EE"/>
    <w:rsid w:val="00325004"/>
    <w:rsid w:val="00536366"/>
    <w:rsid w:val="005E5FBD"/>
    <w:rsid w:val="00685C1A"/>
    <w:rsid w:val="006B453B"/>
    <w:rsid w:val="00840950"/>
    <w:rsid w:val="00A037AF"/>
    <w:rsid w:val="00E0716D"/>
    <w:rsid w:val="00E56583"/>
    <w:rsid w:val="00E82CA3"/>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948B417"/>
  <w14:defaultImageDpi w14:val="300"/>
  <w15:docId w15:val="{AEE1CB1D-B670-44CE-89A4-534781495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0716D"/>
    <w:pPr>
      <w:widowControl w:val="0"/>
    </w:pPr>
    <w:rPr>
      <w:snapToGrid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82CA3"/>
    <w:rPr>
      <w:color w:val="0000FF" w:themeColor="hyperlink"/>
      <w:u w:val="single"/>
    </w:rPr>
  </w:style>
  <w:style w:type="character" w:styleId="a4">
    <w:name w:val="Unresolved Mention"/>
    <w:basedOn w:val="a0"/>
    <w:uiPriority w:val="99"/>
    <w:semiHidden/>
    <w:unhideWhenUsed/>
    <w:rsid w:val="00E82CA3"/>
    <w:rPr>
      <w:color w:val="605E5C"/>
      <w:shd w:val="clear" w:color="auto" w:fill="E1DFDD"/>
    </w:rPr>
  </w:style>
  <w:style w:type="paragraph" w:styleId="a5">
    <w:name w:val="header"/>
    <w:basedOn w:val="a"/>
    <w:link w:val="a6"/>
    <w:uiPriority w:val="99"/>
    <w:unhideWhenUsed/>
    <w:rsid w:val="001422EE"/>
    <w:pPr>
      <w:pBdr>
        <w:bottom w:val="single" w:sz="6" w:space="1" w:color="auto"/>
      </w:pBdr>
      <w:tabs>
        <w:tab w:val="center" w:pos="4536"/>
        <w:tab w:val="right" w:pos="9072"/>
      </w:tabs>
      <w:snapToGrid w:val="0"/>
      <w:jc w:val="center"/>
    </w:pPr>
    <w:rPr>
      <w:sz w:val="18"/>
      <w:szCs w:val="18"/>
    </w:rPr>
  </w:style>
  <w:style w:type="character" w:customStyle="1" w:styleId="a6">
    <w:name w:val="页眉 字符"/>
    <w:basedOn w:val="a0"/>
    <w:link w:val="a5"/>
    <w:uiPriority w:val="99"/>
    <w:rsid w:val="001422EE"/>
    <w:rPr>
      <w:snapToGrid w:val="0"/>
      <w:sz w:val="18"/>
      <w:szCs w:val="18"/>
    </w:rPr>
  </w:style>
  <w:style w:type="paragraph" w:styleId="a7">
    <w:name w:val="footer"/>
    <w:basedOn w:val="a"/>
    <w:link w:val="a8"/>
    <w:uiPriority w:val="99"/>
    <w:unhideWhenUsed/>
    <w:rsid w:val="001422EE"/>
    <w:pPr>
      <w:tabs>
        <w:tab w:val="center" w:pos="4536"/>
        <w:tab w:val="right" w:pos="9072"/>
      </w:tabs>
      <w:snapToGrid w:val="0"/>
    </w:pPr>
    <w:rPr>
      <w:sz w:val="18"/>
      <w:szCs w:val="18"/>
    </w:rPr>
  </w:style>
  <w:style w:type="character" w:customStyle="1" w:styleId="a8">
    <w:name w:val="页脚 字符"/>
    <w:basedOn w:val="a0"/>
    <w:link w:val="a7"/>
    <w:uiPriority w:val="99"/>
    <w:rsid w:val="001422EE"/>
    <w:rPr>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373</Words>
  <Characters>2128</Characters>
  <Application>Microsoft Office Word</Application>
  <DocSecurity>0</DocSecurity>
  <Lines>17</Lines>
  <Paragraphs>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Qianqian</cp:lastModifiedBy>
  <cp:revision>3</cp:revision>
  <cp:lastPrinted>2013-10-21T12:07:00Z</cp:lastPrinted>
  <dcterms:created xsi:type="dcterms:W3CDTF">2026-06-01T10:16:00Z</dcterms:created>
  <dcterms:modified xsi:type="dcterms:W3CDTF">2026-06-01T10:31:00Z</dcterms:modified>
</cp:coreProperties>
</file>