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82C14" w14:textId="7752644D" w:rsidR="0066702F" w:rsidRPr="0066702F" w:rsidRDefault="0066702F" w:rsidP="0066702F">
      <w:pPr>
        <w:jc w:val="center"/>
        <w:rPr>
          <w:b/>
          <w:sz w:val="26"/>
          <w:szCs w:val="26"/>
          <w:lang w:val="en-GB"/>
        </w:rPr>
      </w:pPr>
      <w:r>
        <w:rPr>
          <w:b/>
          <w:sz w:val="26"/>
          <w:szCs w:val="26"/>
          <w:lang w:val="en-GB"/>
        </w:rPr>
        <w:t>R</w:t>
      </w:r>
      <w:r w:rsidRPr="0066702F">
        <w:rPr>
          <w:b/>
          <w:sz w:val="26"/>
          <w:szCs w:val="26"/>
          <w:lang w:val="en-GB"/>
        </w:rPr>
        <w:t>eal-world analytical challenges as a basis for sensor development</w:t>
      </w:r>
    </w:p>
    <w:p w14:paraId="5E2A5E83" w14:textId="77777777" w:rsidR="00325004" w:rsidRPr="0066702F" w:rsidRDefault="00325004" w:rsidP="00E0716D">
      <w:pPr>
        <w:jc w:val="center"/>
        <w:rPr>
          <w:b/>
          <w:sz w:val="28"/>
          <w:lang w:val="en-GB"/>
        </w:rPr>
      </w:pPr>
    </w:p>
    <w:p w14:paraId="1A789D50" w14:textId="64C610CB" w:rsidR="00325004" w:rsidRPr="0066702F" w:rsidRDefault="0066702F" w:rsidP="00E0716D">
      <w:pPr>
        <w:jc w:val="center"/>
      </w:pPr>
      <w:r w:rsidRPr="0066702F">
        <w:rPr>
          <w:u w:val="single"/>
        </w:rPr>
        <w:t xml:space="preserve">Emilia </w:t>
      </w:r>
      <w:proofErr w:type="spellStart"/>
      <w:r w:rsidRPr="0066702F">
        <w:rPr>
          <w:u w:val="single"/>
        </w:rPr>
        <w:t>Witkowska</w:t>
      </w:r>
      <w:proofErr w:type="spellEnd"/>
      <w:r w:rsidRPr="0066702F">
        <w:rPr>
          <w:u w:val="single"/>
        </w:rPr>
        <w:t xml:space="preserve"> Nery</w:t>
      </w:r>
      <w:proofErr w:type="gramStart"/>
      <w:r w:rsidR="00325004" w:rsidRPr="0066702F">
        <w:t xml:space="preserve">, </w:t>
      </w:r>
      <w:r w:rsidRPr="0066702F">
        <w:t>,</w:t>
      </w:r>
      <w:proofErr w:type="gramEnd"/>
      <w:r w:rsidRPr="0066702F">
        <w:t xml:space="preserve"> Steven Linfield, Joanna </w:t>
      </w:r>
      <w:proofErr w:type="spellStart"/>
      <w:r w:rsidRPr="0066702F">
        <w:t>Koprowska</w:t>
      </w:r>
      <w:proofErr w:type="spellEnd"/>
      <w:r w:rsidRPr="0066702F">
        <w:t xml:space="preserve">, Morel Brinda </w:t>
      </w:r>
      <w:proofErr w:type="spellStart"/>
      <w:r w:rsidRPr="0066702F">
        <w:t>Ntanhaning</w:t>
      </w:r>
      <w:proofErr w:type="spellEnd"/>
      <w:r w:rsidRPr="0066702F">
        <w:t xml:space="preserve"> </w:t>
      </w:r>
      <w:proofErr w:type="spellStart"/>
      <w:r w:rsidRPr="0066702F">
        <w:t>Medonjeu</w:t>
      </w:r>
      <w:proofErr w:type="spellEnd"/>
      <w:r w:rsidRPr="0066702F">
        <w:t>, Dami</w:t>
      </w:r>
      <w:r>
        <w:t xml:space="preserve">an Gierek, </w:t>
      </w:r>
      <w:proofErr w:type="spellStart"/>
      <w:r>
        <w:t>Weronika</w:t>
      </w:r>
      <w:proofErr w:type="spellEnd"/>
      <w:r>
        <w:t xml:space="preserve"> </w:t>
      </w:r>
      <w:proofErr w:type="spellStart"/>
      <w:r>
        <w:t>Góral</w:t>
      </w:r>
      <w:proofErr w:type="spellEnd"/>
      <w:r>
        <w:t xml:space="preserve">, Wojciech </w:t>
      </w:r>
      <w:proofErr w:type="spellStart"/>
      <w:r>
        <w:t>Mazurkiewicz</w:t>
      </w:r>
      <w:proofErr w:type="spellEnd"/>
      <w:r>
        <w:t>,</w:t>
      </w:r>
      <w:r w:rsidRPr="0066702F">
        <w:t xml:space="preserve"> </w:t>
      </w:r>
      <w:proofErr w:type="spellStart"/>
      <w:r w:rsidRPr="0066702F">
        <w:t>Martyna</w:t>
      </w:r>
      <w:proofErr w:type="spellEnd"/>
      <w:r w:rsidRPr="0066702F">
        <w:t xml:space="preserve"> </w:t>
      </w:r>
      <w:proofErr w:type="spellStart"/>
      <w:r w:rsidRPr="0066702F">
        <w:t>Durka</w:t>
      </w:r>
      <w:proofErr w:type="spellEnd"/>
    </w:p>
    <w:p w14:paraId="01071BAE" w14:textId="77777777" w:rsidR="0066702F" w:rsidRPr="0066702F" w:rsidRDefault="0066702F" w:rsidP="0066702F">
      <w:pPr>
        <w:jc w:val="center"/>
        <w:rPr>
          <w:i/>
        </w:rPr>
      </w:pPr>
      <w:r w:rsidRPr="0066702F">
        <w:rPr>
          <w:i/>
        </w:rPr>
        <w:t xml:space="preserve">Institute of Physical Chemistry </w:t>
      </w:r>
    </w:p>
    <w:p w14:paraId="08BD8B6D" w14:textId="77777777" w:rsidR="0066702F" w:rsidRPr="0066702F" w:rsidRDefault="0066702F" w:rsidP="0066702F">
      <w:pPr>
        <w:jc w:val="center"/>
        <w:rPr>
          <w:b/>
          <w:bCs/>
          <w:i/>
        </w:rPr>
      </w:pPr>
      <w:r w:rsidRPr="0066702F">
        <w:rPr>
          <w:i/>
        </w:rPr>
        <w:t>Polish Academy of Science, Warsaw, Poland</w:t>
      </w:r>
    </w:p>
    <w:p w14:paraId="010060DF" w14:textId="6408E3F7" w:rsidR="00685C1A" w:rsidRPr="00685C1A" w:rsidRDefault="0066702F" w:rsidP="00E0716D">
      <w:pPr>
        <w:jc w:val="center"/>
        <w:rPr>
          <w:i/>
        </w:rPr>
      </w:pPr>
      <w:r>
        <w:rPr>
          <w:i/>
        </w:rPr>
        <w:t>ewitkowskanery@ichf.edu.pl</w:t>
      </w:r>
    </w:p>
    <w:p w14:paraId="0691053C" w14:textId="77777777" w:rsidR="00325004" w:rsidRDefault="00325004" w:rsidP="00E0716D">
      <w:pPr>
        <w:jc w:val="center"/>
      </w:pPr>
    </w:p>
    <w:p w14:paraId="16B8D65E" w14:textId="77777777" w:rsidR="0066702F" w:rsidRDefault="0066702F" w:rsidP="0066702F">
      <w:pPr>
        <w:jc w:val="both"/>
        <w:rPr>
          <w:lang w:val="en-GB"/>
        </w:rPr>
      </w:pPr>
      <w:r w:rsidRPr="0066702F">
        <w:rPr>
          <w:lang w:val="en-GB"/>
        </w:rPr>
        <w:t>Efforts to adapt laboratory technologies for real</w:t>
      </w:r>
      <w:r w:rsidRPr="0066702F">
        <w:rPr>
          <w:lang w:val="en-GB"/>
        </w:rPr>
        <w:noBreakHyphen/>
        <w:t>world use—particularly through simplifying designs and lowering costs—can deliver benefits that go beyond improved accessibility and affordability. Such strategies often uncover novel and unexpected capabilities, as the pursuit of low</w:t>
      </w:r>
      <w:r w:rsidRPr="0066702F">
        <w:rPr>
          <w:lang w:val="en-GB"/>
        </w:rPr>
        <w:noBreakHyphen/>
        <w:t>cost sensing solutions can enable functionalities not achievable with more complex systems. This work focuses on three key aspects: (1) the advantages of voltammetric ion sensing, (2) the development of portable and cost</w:t>
      </w:r>
      <w:r w:rsidRPr="0066702F">
        <w:rPr>
          <w:lang w:val="en-GB"/>
        </w:rPr>
        <w:noBreakHyphen/>
        <w:t>effective sensor alternatives, and (3) the application of sensor arrays combined with multivariate data analysis.</w:t>
      </w:r>
    </w:p>
    <w:p w14:paraId="77771E30" w14:textId="77777777" w:rsidR="008E4216" w:rsidRPr="0066702F" w:rsidRDefault="008E4216" w:rsidP="0066702F">
      <w:pPr>
        <w:jc w:val="both"/>
        <w:rPr>
          <w:lang w:val="en-GB"/>
        </w:rPr>
      </w:pPr>
    </w:p>
    <w:p w14:paraId="4C0485AD" w14:textId="77777777" w:rsidR="0066702F" w:rsidRPr="0066702F" w:rsidRDefault="0066702F" w:rsidP="0066702F">
      <w:pPr>
        <w:jc w:val="both"/>
        <w:rPr>
          <w:lang w:val="en-GB"/>
        </w:rPr>
      </w:pPr>
      <w:r w:rsidRPr="0066702F">
        <w:rPr>
          <w:lang w:val="en-GB"/>
        </w:rPr>
        <w:t>This approach supports a wide range of practical applications, including the detection of date rape drugs in real samples, real</w:t>
      </w:r>
      <w:r w:rsidRPr="0066702F">
        <w:rPr>
          <w:lang w:val="en-GB"/>
        </w:rPr>
        <w:noBreakHyphen/>
        <w:t>time monitoring of bioreactors, quantification of structurally similar compounds such as neurotransmitters, and evaluation of taste masking in pharmaceutical formulations. Beyond their immediate societal and industrial importance, these case studies enhance our understanding of the fundamental factors that enable sensors to become more sensitive, compact, rapid, affordable, and versatile.</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394"/>
      </w:tblGrid>
      <w:tr w:rsidR="00C51535" w:rsidRPr="0066702F" w14:paraId="7B6110EA" w14:textId="77777777" w:rsidTr="004D47A4">
        <w:trPr>
          <w:jc w:val="center"/>
        </w:trPr>
        <w:tc>
          <w:tcPr>
            <w:tcW w:w="8505" w:type="dxa"/>
            <w:gridSpan w:val="2"/>
          </w:tcPr>
          <w:p w14:paraId="0D6BCB40" w14:textId="192F2E77" w:rsidR="00C51535" w:rsidRPr="0066702F" w:rsidRDefault="00C51535" w:rsidP="0066702F">
            <w:pPr>
              <w:jc w:val="both"/>
              <w:rPr>
                <w:bCs/>
                <w:lang w:val="en-GB"/>
              </w:rPr>
            </w:pPr>
            <w:r w:rsidRPr="00C51535">
              <w:rPr>
                <w:bCs/>
                <w:noProof/>
                <w:lang w:val="en-GB"/>
              </w:rPr>
              <w:drawing>
                <wp:inline distT="0" distB="0" distL="0" distR="0" wp14:anchorId="4F17839E" wp14:editId="3B296892">
                  <wp:extent cx="5194300" cy="1894499"/>
                  <wp:effectExtent l="0" t="0" r="635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35485" cy="1909520"/>
                          </a:xfrm>
                          <a:prstGeom prst="rect">
                            <a:avLst/>
                          </a:prstGeom>
                        </pic:spPr>
                      </pic:pic>
                    </a:graphicData>
                  </a:graphic>
                </wp:inline>
              </w:drawing>
            </w:r>
          </w:p>
        </w:tc>
      </w:tr>
      <w:tr w:rsidR="0066702F" w:rsidRPr="0066702F" w14:paraId="079D8F72" w14:textId="77777777" w:rsidTr="00C51535">
        <w:trPr>
          <w:jc w:val="center"/>
        </w:trPr>
        <w:tc>
          <w:tcPr>
            <w:tcW w:w="4111" w:type="dxa"/>
          </w:tcPr>
          <w:p w14:paraId="55D2E9D3" w14:textId="77777777" w:rsidR="0066702F" w:rsidRPr="0066702F" w:rsidRDefault="0066702F" w:rsidP="0066702F">
            <w:pPr>
              <w:jc w:val="both"/>
              <w:rPr>
                <w:bCs/>
                <w:lang w:val="en-GB"/>
              </w:rPr>
            </w:pPr>
            <w:r w:rsidRPr="0066702F">
              <w:rPr>
                <w:b/>
                <w:lang w:val="en-GB"/>
              </w:rPr>
              <w:t>Fig.1</w:t>
            </w:r>
            <w:r w:rsidRPr="0066702F">
              <w:rPr>
                <w:bCs/>
                <w:lang w:val="en-GB"/>
              </w:rPr>
              <w:t xml:space="preserve"> Miniaturized cell for </w:t>
            </w:r>
            <w:proofErr w:type="spellStart"/>
            <w:r w:rsidRPr="0066702F">
              <w:rPr>
                <w:bCs/>
                <w:lang w:val="en-GB"/>
              </w:rPr>
              <w:t>spectroelectrochemical</w:t>
            </w:r>
            <w:proofErr w:type="spellEnd"/>
            <w:r w:rsidRPr="0066702F">
              <w:rPr>
                <w:bCs/>
                <w:lang w:val="en-GB"/>
              </w:rPr>
              <w:t xml:space="preserve"> studies of ion-transfer at the liquid-liquid interface</w:t>
            </w:r>
          </w:p>
        </w:tc>
        <w:tc>
          <w:tcPr>
            <w:tcW w:w="4394" w:type="dxa"/>
          </w:tcPr>
          <w:p w14:paraId="17613792" w14:textId="77777777" w:rsidR="0066702F" w:rsidRPr="0066702F" w:rsidRDefault="0066702F" w:rsidP="0066702F">
            <w:pPr>
              <w:jc w:val="both"/>
              <w:rPr>
                <w:bCs/>
                <w:lang w:val="en-GB"/>
              </w:rPr>
            </w:pPr>
            <w:r w:rsidRPr="0066702F">
              <w:rPr>
                <w:b/>
                <w:lang w:val="en-GB"/>
              </w:rPr>
              <w:t>Fig. 2</w:t>
            </w:r>
            <w:r w:rsidRPr="0066702F">
              <w:rPr>
                <w:bCs/>
                <w:lang w:val="en-GB"/>
              </w:rPr>
              <w:t xml:space="preserve"> Double barrel probe for voltammetric sensing of both ionic and electroactive species.</w:t>
            </w:r>
          </w:p>
        </w:tc>
      </w:tr>
    </w:tbl>
    <w:p w14:paraId="3A4893B5" w14:textId="77777777" w:rsidR="00C51535" w:rsidRDefault="00C51535" w:rsidP="0066702F">
      <w:pPr>
        <w:jc w:val="both"/>
        <w:rPr>
          <w:b/>
        </w:rPr>
      </w:pPr>
    </w:p>
    <w:p w14:paraId="69641872" w14:textId="77777777" w:rsidR="00C51535" w:rsidRDefault="00C51535" w:rsidP="0066702F">
      <w:pPr>
        <w:jc w:val="both"/>
        <w:rPr>
          <w:b/>
        </w:rPr>
      </w:pPr>
    </w:p>
    <w:p w14:paraId="3552A225" w14:textId="77777777" w:rsidR="0066702F" w:rsidRDefault="0066702F" w:rsidP="0066702F">
      <w:pPr>
        <w:jc w:val="both"/>
        <w:rPr>
          <w:bCs/>
          <w:lang w:val="en-GB"/>
        </w:rPr>
      </w:pPr>
    </w:p>
    <w:p w14:paraId="5CB4459F" w14:textId="2716EB6E" w:rsidR="0066702F" w:rsidRPr="0066702F" w:rsidRDefault="0066702F" w:rsidP="0066702F">
      <w:pPr>
        <w:jc w:val="both"/>
        <w:rPr>
          <w:lang w:val="fr-FR"/>
        </w:rPr>
      </w:pPr>
      <w:r w:rsidRPr="0066702F">
        <w:rPr>
          <w:bCs/>
          <w:lang w:val="en-GB"/>
        </w:rPr>
        <w:t xml:space="preserve">Projects funded by National Science Centre Poland: NCN SONATA </w:t>
      </w:r>
      <w:r w:rsidRPr="0066702F">
        <w:rPr>
          <w:bCs/>
          <w:lang w:val="it-IT"/>
        </w:rPr>
        <w:t xml:space="preserve">SONATA 2020/39/D/ST4/02256, </w:t>
      </w:r>
      <w:r w:rsidRPr="0066702F">
        <w:rPr>
          <w:bCs/>
          <w:lang w:val="en-GB"/>
        </w:rPr>
        <w:t>SONATA BIS 2023/50/E/ST4/00639</w:t>
      </w:r>
    </w:p>
    <w:p w14:paraId="7926AA36" w14:textId="77777777" w:rsidR="00325004" w:rsidRPr="0066702F" w:rsidRDefault="00325004" w:rsidP="00E0716D">
      <w:pPr>
        <w:jc w:val="both"/>
        <w:rPr>
          <w:lang w:val="fr-FR"/>
        </w:rPr>
      </w:pPr>
    </w:p>
    <w:p w14:paraId="5B5CBFE5" w14:textId="77777777" w:rsidR="00325004" w:rsidRDefault="00325004" w:rsidP="00E0716D">
      <w:pPr>
        <w:jc w:val="both"/>
      </w:pPr>
    </w:p>
    <w:p w14:paraId="103A8BC9"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41415D"/>
    <w:rsid w:val="00536366"/>
    <w:rsid w:val="00633057"/>
    <w:rsid w:val="0066702F"/>
    <w:rsid w:val="00685C1A"/>
    <w:rsid w:val="008E4216"/>
    <w:rsid w:val="00C51535"/>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EEDBAC"/>
  <w14:defaultImageDpi w14:val="300"/>
  <w15:docId w15:val="{B2F0A372-61F2-4C26-B3DE-CA39B225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667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33472">
      <w:bodyDiv w:val="1"/>
      <w:marLeft w:val="0"/>
      <w:marRight w:val="0"/>
      <w:marTop w:val="0"/>
      <w:marBottom w:val="0"/>
      <w:divBdr>
        <w:top w:val="none" w:sz="0" w:space="0" w:color="auto"/>
        <w:left w:val="none" w:sz="0" w:space="0" w:color="auto"/>
        <w:bottom w:val="none" w:sz="0" w:space="0" w:color="auto"/>
        <w:right w:val="none" w:sz="0" w:space="0" w:color="auto"/>
      </w:divBdr>
      <w:divsChild>
        <w:div w:id="23140164">
          <w:marLeft w:val="0"/>
          <w:marRight w:val="0"/>
          <w:marTop w:val="0"/>
          <w:marBottom w:val="0"/>
          <w:divBdr>
            <w:top w:val="none" w:sz="0" w:space="0" w:color="auto"/>
            <w:left w:val="none" w:sz="0" w:space="0" w:color="auto"/>
            <w:bottom w:val="none" w:sz="0" w:space="0" w:color="auto"/>
            <w:right w:val="none" w:sz="0" w:space="0" w:color="auto"/>
          </w:divBdr>
        </w:div>
      </w:divsChild>
    </w:div>
    <w:div w:id="552427867">
      <w:bodyDiv w:val="1"/>
      <w:marLeft w:val="0"/>
      <w:marRight w:val="0"/>
      <w:marTop w:val="0"/>
      <w:marBottom w:val="0"/>
      <w:divBdr>
        <w:top w:val="none" w:sz="0" w:space="0" w:color="auto"/>
        <w:left w:val="none" w:sz="0" w:space="0" w:color="auto"/>
        <w:bottom w:val="none" w:sz="0" w:space="0" w:color="auto"/>
        <w:right w:val="none" w:sz="0" w:space="0" w:color="auto"/>
      </w:divBdr>
    </w:div>
    <w:div w:id="961886611">
      <w:bodyDiv w:val="1"/>
      <w:marLeft w:val="0"/>
      <w:marRight w:val="0"/>
      <w:marTop w:val="0"/>
      <w:marBottom w:val="0"/>
      <w:divBdr>
        <w:top w:val="none" w:sz="0" w:space="0" w:color="auto"/>
        <w:left w:val="none" w:sz="0" w:space="0" w:color="auto"/>
        <w:bottom w:val="none" w:sz="0" w:space="0" w:color="auto"/>
        <w:right w:val="none" w:sz="0" w:space="0" w:color="auto"/>
      </w:divBdr>
      <w:divsChild>
        <w:div w:id="960645497">
          <w:marLeft w:val="0"/>
          <w:marRight w:val="0"/>
          <w:marTop w:val="0"/>
          <w:marBottom w:val="0"/>
          <w:divBdr>
            <w:top w:val="none" w:sz="0" w:space="0" w:color="auto"/>
            <w:left w:val="none" w:sz="0" w:space="0" w:color="auto"/>
            <w:bottom w:val="none" w:sz="0" w:space="0" w:color="auto"/>
            <w:right w:val="none" w:sz="0" w:space="0" w:color="auto"/>
          </w:divBdr>
        </w:div>
      </w:divsChild>
    </w:div>
    <w:div w:id="998536607">
      <w:bodyDiv w:val="1"/>
      <w:marLeft w:val="0"/>
      <w:marRight w:val="0"/>
      <w:marTop w:val="0"/>
      <w:marBottom w:val="0"/>
      <w:divBdr>
        <w:top w:val="none" w:sz="0" w:space="0" w:color="auto"/>
        <w:left w:val="none" w:sz="0" w:space="0" w:color="auto"/>
        <w:bottom w:val="none" w:sz="0" w:space="0" w:color="auto"/>
        <w:right w:val="none" w:sz="0" w:space="0" w:color="auto"/>
      </w:divBdr>
      <w:divsChild>
        <w:div w:id="656373957">
          <w:marLeft w:val="0"/>
          <w:marRight w:val="0"/>
          <w:marTop w:val="0"/>
          <w:marBottom w:val="0"/>
          <w:divBdr>
            <w:top w:val="none" w:sz="0" w:space="0" w:color="auto"/>
            <w:left w:val="none" w:sz="0" w:space="0" w:color="auto"/>
            <w:bottom w:val="none" w:sz="0" w:space="0" w:color="auto"/>
            <w:right w:val="none" w:sz="0" w:space="0" w:color="auto"/>
          </w:divBdr>
        </w:div>
      </w:divsChild>
    </w:div>
    <w:div w:id="1719435047">
      <w:bodyDiv w:val="1"/>
      <w:marLeft w:val="0"/>
      <w:marRight w:val="0"/>
      <w:marTop w:val="0"/>
      <w:marBottom w:val="0"/>
      <w:divBdr>
        <w:top w:val="none" w:sz="0" w:space="0" w:color="auto"/>
        <w:left w:val="none" w:sz="0" w:space="0" w:color="auto"/>
        <w:bottom w:val="none" w:sz="0" w:space="0" w:color="auto"/>
        <w:right w:val="none" w:sz="0" w:space="0" w:color="auto"/>
      </w:divBdr>
      <w:divsChild>
        <w:div w:id="688531131">
          <w:marLeft w:val="0"/>
          <w:marRight w:val="0"/>
          <w:marTop w:val="0"/>
          <w:marBottom w:val="0"/>
          <w:divBdr>
            <w:top w:val="none" w:sz="0" w:space="0" w:color="auto"/>
            <w:left w:val="none" w:sz="0" w:space="0" w:color="auto"/>
            <w:bottom w:val="none" w:sz="0" w:space="0" w:color="auto"/>
            <w:right w:val="none" w:sz="0" w:space="0" w:color="auto"/>
          </w:divBdr>
        </w:div>
      </w:divsChild>
    </w:div>
    <w:div w:id="1844391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A36B5-D5B8-4ABF-BC3A-19403A7E2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Emilia Witkowska-Nery</cp:lastModifiedBy>
  <cp:revision>5</cp:revision>
  <cp:lastPrinted>2013-10-21T12:07:00Z</cp:lastPrinted>
  <dcterms:created xsi:type="dcterms:W3CDTF">2026-05-21T13:48:00Z</dcterms:created>
  <dcterms:modified xsi:type="dcterms:W3CDTF">2026-05-21T13:50:00Z</dcterms:modified>
</cp:coreProperties>
</file>