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7376" w14:textId="3E6D3FD1" w:rsidR="00325004" w:rsidRPr="00A86EB9" w:rsidRDefault="002D034B" w:rsidP="002D034B">
      <w:pPr>
        <w:jc w:val="center"/>
        <w:rPr>
          <w:b/>
          <w:sz w:val="28"/>
        </w:rPr>
      </w:pPr>
      <w:r w:rsidRPr="002D034B">
        <w:rPr>
          <w:b/>
          <w:sz w:val="28"/>
        </w:rPr>
        <w:t xml:space="preserve">The </w:t>
      </w:r>
      <w:r w:rsidRPr="002D034B">
        <w:rPr>
          <w:b/>
          <w:sz w:val="28"/>
        </w:rPr>
        <w:t xml:space="preserve">Mechanical Stability Limit </w:t>
      </w:r>
      <w:r>
        <w:rPr>
          <w:b/>
          <w:sz w:val="28"/>
        </w:rPr>
        <w:t>o</w:t>
      </w:r>
      <w:r w:rsidRPr="002D034B">
        <w:rPr>
          <w:b/>
          <w:sz w:val="28"/>
        </w:rPr>
        <w:t xml:space="preserve">f Microporous Carbons Defining </w:t>
      </w:r>
      <w:proofErr w:type="gramStart"/>
      <w:r w:rsidRPr="002D034B">
        <w:rPr>
          <w:b/>
          <w:sz w:val="28"/>
        </w:rPr>
        <w:t>The</w:t>
      </w:r>
      <w:proofErr w:type="gramEnd"/>
      <w:r w:rsidRPr="002D034B">
        <w:rPr>
          <w:b/>
          <w:sz w:val="28"/>
        </w:rPr>
        <w:t xml:space="preserve"> Transition </w:t>
      </w:r>
      <w:proofErr w:type="gramStart"/>
      <w:r w:rsidRPr="002D034B">
        <w:rPr>
          <w:b/>
          <w:sz w:val="28"/>
        </w:rPr>
        <w:t>From</w:t>
      </w:r>
      <w:proofErr w:type="gramEnd"/>
      <w:r w:rsidRPr="002D034B">
        <w:rPr>
          <w:b/>
          <w:sz w:val="28"/>
        </w:rPr>
        <w:t xml:space="preserve"> Reversible Charging-Induced Deformation </w:t>
      </w:r>
      <w:proofErr w:type="gramStart"/>
      <w:r w:rsidRPr="002D034B">
        <w:rPr>
          <w:b/>
          <w:sz w:val="28"/>
        </w:rPr>
        <w:t>To</w:t>
      </w:r>
      <w:proofErr w:type="gramEnd"/>
      <w:r w:rsidRPr="002D034B">
        <w:rPr>
          <w:b/>
          <w:sz w:val="28"/>
        </w:rPr>
        <w:t xml:space="preserve"> Mechanical Fatigue</w:t>
      </w:r>
    </w:p>
    <w:p w14:paraId="61A55B05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FA1B0E6" w14:textId="5A1E5009" w:rsidR="00325004" w:rsidRDefault="002D034B" w:rsidP="00E0716D">
      <w:pPr>
        <w:jc w:val="center"/>
      </w:pPr>
      <w:r>
        <w:rPr>
          <w:u w:val="single"/>
        </w:rPr>
        <w:t>Rabea Saleh Rabea Bin Sowad</w:t>
      </w:r>
      <w:r w:rsidR="00325004">
        <w:t xml:space="preserve">, </w:t>
      </w:r>
      <w:r>
        <w:t>Krzysztof Fic</w:t>
      </w:r>
    </w:p>
    <w:p w14:paraId="190C387B" w14:textId="7D698788" w:rsidR="00325004" w:rsidRPr="00A86EB9" w:rsidRDefault="002D034B" w:rsidP="00E0716D">
      <w:pPr>
        <w:jc w:val="center"/>
        <w:rPr>
          <w:i/>
        </w:rPr>
      </w:pPr>
      <w:r>
        <w:rPr>
          <w:i/>
        </w:rPr>
        <w:t>Poznan University of Technology</w:t>
      </w:r>
    </w:p>
    <w:p w14:paraId="0D5B3D30" w14:textId="4680EFF8" w:rsidR="00685C1A" w:rsidRPr="00685C1A" w:rsidRDefault="002D034B" w:rsidP="00E0716D">
      <w:pPr>
        <w:jc w:val="center"/>
        <w:rPr>
          <w:i/>
        </w:rPr>
      </w:pPr>
      <w:r w:rsidRPr="002D034B">
        <w:rPr>
          <w:i/>
        </w:rPr>
        <w:t xml:space="preserve">ul. Jacka </w:t>
      </w:r>
      <w:proofErr w:type="spellStart"/>
      <w:r w:rsidRPr="002D034B">
        <w:rPr>
          <w:i/>
        </w:rPr>
        <w:t>Rychlewskiego</w:t>
      </w:r>
      <w:proofErr w:type="spellEnd"/>
      <w:r w:rsidRPr="002D034B">
        <w:rPr>
          <w:i/>
        </w:rPr>
        <w:t xml:space="preserve"> 1</w:t>
      </w:r>
      <w:r>
        <w:rPr>
          <w:i/>
        </w:rPr>
        <w:t>, 61-131 Poznan, Poland</w:t>
      </w:r>
      <w:r>
        <w:rPr>
          <w:i/>
        </w:rPr>
        <w:br/>
        <w:t>rabea.binsowad@put.poznan.pl</w:t>
      </w:r>
    </w:p>
    <w:p w14:paraId="00472273" w14:textId="77777777" w:rsidR="00325004" w:rsidRDefault="00325004" w:rsidP="00E0716D">
      <w:pPr>
        <w:jc w:val="center"/>
      </w:pPr>
    </w:p>
    <w:p w14:paraId="32A22922" w14:textId="77777777" w:rsidR="00325004" w:rsidRDefault="00325004" w:rsidP="00E0716D">
      <w:pPr>
        <w:jc w:val="both"/>
      </w:pPr>
    </w:p>
    <w:p w14:paraId="653E8DAA" w14:textId="14F417C4" w:rsidR="00325004" w:rsidRDefault="002D034B" w:rsidP="00E0716D">
      <w:pPr>
        <w:jc w:val="both"/>
      </w:pPr>
      <w:r w:rsidRPr="002D034B">
        <w:t xml:space="preserve">Microporous carbon electrodes in aqueous electrical double-layer capacitors experience significant mechanical </w:t>
      </w:r>
      <w:proofErr w:type="gramStart"/>
      <w:r w:rsidRPr="002D034B">
        <w:t>stresses</w:t>
      </w:r>
      <w:proofErr w:type="gramEnd"/>
      <w:r>
        <w:t xml:space="preserve"> </w:t>
      </w:r>
      <w:proofErr w:type="gramStart"/>
      <w:r w:rsidRPr="002D034B">
        <w:t>during</w:t>
      </w:r>
      <w:r>
        <w:t xml:space="preserve"> </w:t>
      </w:r>
      <w:r w:rsidRPr="002D034B">
        <w:t>ion</w:t>
      </w:r>
      <w:proofErr w:type="gramEnd"/>
      <w:r w:rsidRPr="002D034B">
        <w:t xml:space="preserve"> </w:t>
      </w:r>
      <w:proofErr w:type="spellStart"/>
      <w:r w:rsidRPr="002D034B">
        <w:t>electrosorption</w:t>
      </w:r>
      <w:proofErr w:type="spellEnd"/>
      <w:r w:rsidRPr="002D034B">
        <w:t xml:space="preserve">. Here, operando electrochemical dilatometry was employed to quantify the real-time dimensional response of microporous carbons during charging and identify the structural compliance limit of the carbon framework. Differential electromechanical analysis revealed a distinct transition from reversible elastic expansion to irreversible mechanical fatigue. Across various aqueous electrolytes, permanent structural degradation emerged beyond a characteristic charge-storage threshold corresponding to the exhaustion of pore compliance. Increased ion confinement and </w:t>
      </w:r>
      <w:proofErr w:type="spellStart"/>
      <w:r w:rsidRPr="002D034B">
        <w:t>desolvation</w:t>
      </w:r>
      <w:proofErr w:type="spellEnd"/>
      <w:r w:rsidRPr="002D034B">
        <w:t>-induced stresses beyond this limit accelerated structural degradation, with heavily hydrated ions imposing the greatest mechanical burden. These findings establish the structural compliance limit as a physically grounded criterion defining the boundary between elastic charging and mechanical fatigue, highlighting the critical role of mechanical endurance in determining the operational lifetime of aqueous electrochemical capacitors.</w:t>
      </w:r>
    </w:p>
    <w:p w14:paraId="533A6E3C" w14:textId="77777777" w:rsidR="00325004" w:rsidRDefault="00325004" w:rsidP="00E0716D">
      <w:pPr>
        <w:jc w:val="both"/>
      </w:pPr>
    </w:p>
    <w:p w14:paraId="03A3CB78" w14:textId="77777777" w:rsidR="00325004" w:rsidRDefault="00325004" w:rsidP="00E0716D">
      <w:pPr>
        <w:jc w:val="both"/>
      </w:pPr>
    </w:p>
    <w:p w14:paraId="3DC15BA3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5CA8"/>
    <w:rsid w:val="00041EFD"/>
    <w:rsid w:val="002D034B"/>
    <w:rsid w:val="00325004"/>
    <w:rsid w:val="00536366"/>
    <w:rsid w:val="00685C1A"/>
    <w:rsid w:val="00E0716D"/>
    <w:rsid w:val="00E4288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9749E"/>
  <w14:defaultImageDpi w14:val="300"/>
  <w15:docId w15:val="{1A607EDE-C9F6-429B-A7CA-05F481FE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Rabea Bin Sowad</cp:lastModifiedBy>
  <cp:revision>2</cp:revision>
  <cp:lastPrinted>2013-10-21T12:07:00Z</cp:lastPrinted>
  <dcterms:created xsi:type="dcterms:W3CDTF">2026-06-15T15:24:00Z</dcterms:created>
  <dcterms:modified xsi:type="dcterms:W3CDTF">2026-06-15T15:24:00Z</dcterms:modified>
</cp:coreProperties>
</file>