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C63B" w14:textId="77777777" w:rsidR="00290A6B" w:rsidRPr="00290A6B" w:rsidRDefault="00290A6B" w:rsidP="00290A6B">
      <w:pPr>
        <w:jc w:val="center"/>
        <w:rPr>
          <w:b/>
          <w:sz w:val="28"/>
        </w:rPr>
      </w:pPr>
      <w:r w:rsidRPr="00290A6B">
        <w:rPr>
          <w:b/>
          <w:sz w:val="28"/>
        </w:rPr>
        <w:t xml:space="preserve">Development of Electrochemical Biosensor for </w:t>
      </w:r>
    </w:p>
    <w:p w14:paraId="30D59B01" w14:textId="77777777" w:rsidR="00290A6B" w:rsidRPr="00290A6B" w:rsidRDefault="00290A6B" w:rsidP="00290A6B">
      <w:pPr>
        <w:jc w:val="center"/>
        <w:rPr>
          <w:b/>
          <w:sz w:val="28"/>
        </w:rPr>
      </w:pPr>
      <w:r w:rsidRPr="00290A6B">
        <w:rPr>
          <w:b/>
          <w:sz w:val="28"/>
        </w:rPr>
        <w:t>Measuring Reactive Oxygen Species (ROS) in Blood</w:t>
      </w:r>
    </w:p>
    <w:p w14:paraId="0DA8397A" w14:textId="77777777" w:rsidR="00290A6B" w:rsidRPr="00290A6B" w:rsidRDefault="00290A6B" w:rsidP="00290A6B">
      <w:pPr>
        <w:jc w:val="center"/>
        <w:rPr>
          <w:b/>
          <w:sz w:val="28"/>
        </w:rPr>
      </w:pPr>
      <w:r w:rsidRPr="00290A6B">
        <w:rPr>
          <w:b/>
          <w:sz w:val="28"/>
        </w:rPr>
        <w:t>&amp;</w:t>
      </w:r>
    </w:p>
    <w:p w14:paraId="4245417A" w14:textId="09B1B512" w:rsidR="00325004" w:rsidRPr="00A86EB9" w:rsidRDefault="00290A6B" w:rsidP="00290A6B">
      <w:pPr>
        <w:jc w:val="center"/>
        <w:rPr>
          <w:b/>
          <w:sz w:val="28"/>
        </w:rPr>
      </w:pPr>
      <w:r w:rsidRPr="00290A6B">
        <w:rPr>
          <w:b/>
          <w:sz w:val="28"/>
        </w:rPr>
        <w:t>Wearable Body Temperature Sensor</w:t>
      </w:r>
    </w:p>
    <w:p w14:paraId="75EDAE39" w14:textId="31576C90" w:rsidR="00325004" w:rsidRPr="004F58D2" w:rsidRDefault="00290A6B" w:rsidP="00E0716D">
      <w:pPr>
        <w:jc w:val="center"/>
        <w:rPr>
          <w:lang w:val="en-GB"/>
        </w:rPr>
      </w:pPr>
      <w:r w:rsidRPr="004F58D2">
        <w:rPr>
          <w:u w:val="single"/>
          <w:lang w:val="en-GB"/>
        </w:rPr>
        <w:t xml:space="preserve">Eileen Yu </w:t>
      </w:r>
      <w:r w:rsidRPr="004F58D2">
        <w:rPr>
          <w:u w:val="single"/>
          <w:vertAlign w:val="superscript"/>
          <w:lang w:val="en-GB"/>
        </w:rPr>
        <w:t>1*</w:t>
      </w:r>
      <w:r w:rsidR="00325004" w:rsidRPr="004F58D2">
        <w:rPr>
          <w:lang w:val="en-GB"/>
        </w:rPr>
        <w:t xml:space="preserve">, </w:t>
      </w:r>
      <w:r w:rsidRPr="004F58D2">
        <w:rPr>
          <w:lang w:val="en-GB"/>
        </w:rPr>
        <w:t>Samet</w:t>
      </w:r>
      <w:r w:rsidRPr="004F58D2">
        <w:rPr>
          <w:lang w:val="en-GB"/>
        </w:rPr>
        <w:t xml:space="preserve"> </w:t>
      </w:r>
      <w:r w:rsidRPr="004F58D2">
        <w:rPr>
          <w:lang w:val="en-GB"/>
        </w:rPr>
        <w:t>Şahin</w:t>
      </w:r>
      <w:r w:rsidRPr="004F58D2">
        <w:rPr>
          <w:vertAlign w:val="superscript"/>
          <w:lang w:val="en-GB"/>
        </w:rPr>
        <w:t>2</w:t>
      </w:r>
      <w:r w:rsidRPr="004F58D2">
        <w:rPr>
          <w:lang w:val="en-GB"/>
        </w:rPr>
        <w:t>,</w:t>
      </w:r>
      <w:r w:rsidRPr="004F58D2">
        <w:rPr>
          <w:lang w:val="en-GB"/>
        </w:rPr>
        <w:t xml:space="preserve"> Yanan Wu</w:t>
      </w:r>
      <w:r w:rsidRPr="004F58D2">
        <w:rPr>
          <w:vertAlign w:val="superscript"/>
          <w:lang w:val="en-GB"/>
        </w:rPr>
        <w:t>3</w:t>
      </w:r>
      <w:r w:rsidRPr="004F58D2">
        <w:rPr>
          <w:vertAlign w:val="superscript"/>
          <w:lang w:val="en-GB"/>
        </w:rPr>
        <w:t xml:space="preserve"> </w:t>
      </w:r>
      <w:r w:rsidR="004F58D2" w:rsidRPr="004F58D2">
        <w:rPr>
          <w:lang w:val="en-GB"/>
        </w:rPr>
        <w:t>, San</w:t>
      </w:r>
      <w:r w:rsidR="004F58D2">
        <w:rPr>
          <w:lang w:val="en-GB"/>
        </w:rPr>
        <w:t xml:space="preserve">dy Guo </w:t>
      </w:r>
      <w:r w:rsidR="004F58D2" w:rsidRPr="004F58D2">
        <w:rPr>
          <w:vertAlign w:val="superscript"/>
          <w:lang w:val="en-GB"/>
        </w:rPr>
        <w:t>4</w:t>
      </w:r>
      <w:r w:rsidR="004F58D2">
        <w:rPr>
          <w:lang w:val="en-GB"/>
        </w:rPr>
        <w:t xml:space="preserve">, Yi Liu </w:t>
      </w:r>
      <w:r w:rsidR="004F58D2" w:rsidRPr="004F58D2">
        <w:rPr>
          <w:vertAlign w:val="superscript"/>
          <w:lang w:val="en-GB"/>
        </w:rPr>
        <w:t>4</w:t>
      </w:r>
    </w:p>
    <w:p w14:paraId="45445786" w14:textId="77777777" w:rsidR="00290A6B" w:rsidRDefault="00290A6B" w:rsidP="00E0716D">
      <w:pPr>
        <w:jc w:val="center"/>
        <w:rPr>
          <w:i/>
        </w:rPr>
      </w:pPr>
      <w:r>
        <w:rPr>
          <w:i/>
        </w:rPr>
        <w:t>1 School of Chemistry and Chemical Engineering, University of Southampton, SO17 1BJ, Southampton, United Kingdom</w:t>
      </w:r>
    </w:p>
    <w:p w14:paraId="135151E8" w14:textId="77777777" w:rsidR="00290A6B" w:rsidRDefault="00290A6B" w:rsidP="00E0716D">
      <w:pPr>
        <w:jc w:val="center"/>
        <w:rPr>
          <w:i/>
        </w:rPr>
      </w:pPr>
      <w:r>
        <w:rPr>
          <w:i/>
        </w:rPr>
        <w:t xml:space="preserve">2 </w:t>
      </w:r>
      <w:r w:rsidRPr="00290A6B">
        <w:rPr>
          <w:i/>
        </w:rPr>
        <w:t>School of Engineering</w:t>
      </w:r>
      <w:r>
        <w:rPr>
          <w:i/>
        </w:rPr>
        <w:t>, Lancaster University, United Kingdom</w:t>
      </w:r>
    </w:p>
    <w:p w14:paraId="0AB9FBC5" w14:textId="77777777" w:rsidR="00290A6B" w:rsidRDefault="00290A6B" w:rsidP="00E0716D">
      <w:pPr>
        <w:jc w:val="center"/>
        <w:rPr>
          <w:i/>
        </w:rPr>
      </w:pPr>
      <w:r>
        <w:rPr>
          <w:i/>
        </w:rPr>
        <w:t>3 School of Engineering, Newcastle University, Newcastle upon Tyne, United Kingdom</w:t>
      </w:r>
    </w:p>
    <w:p w14:paraId="6EB012B1" w14:textId="102E52E5" w:rsidR="004F58D2" w:rsidRDefault="004F58D2" w:rsidP="00E0716D">
      <w:pPr>
        <w:jc w:val="center"/>
        <w:rPr>
          <w:i/>
        </w:rPr>
      </w:pPr>
      <w:r>
        <w:rPr>
          <w:i/>
        </w:rPr>
        <w:t xml:space="preserve">4 Department of Materials, Loughborough University, Loughborough, </w:t>
      </w:r>
    </w:p>
    <w:p w14:paraId="72963193" w14:textId="746954C6" w:rsidR="00685C1A" w:rsidRPr="00685C1A" w:rsidRDefault="00290A6B" w:rsidP="00E0716D">
      <w:pPr>
        <w:jc w:val="center"/>
        <w:rPr>
          <w:i/>
        </w:rPr>
      </w:pPr>
      <w:r>
        <w:rPr>
          <w:i/>
        </w:rPr>
        <w:t>Eileen.yu@soton.ac.uk</w:t>
      </w:r>
    </w:p>
    <w:p w14:paraId="06F8BCC8" w14:textId="77777777" w:rsidR="00325004" w:rsidRDefault="00325004" w:rsidP="00E0716D">
      <w:pPr>
        <w:jc w:val="center"/>
      </w:pPr>
    </w:p>
    <w:p w14:paraId="15BE988C" w14:textId="1F6F9056" w:rsidR="00325004" w:rsidRDefault="00AE439A" w:rsidP="00E0716D">
      <w:pPr>
        <w:jc w:val="both"/>
      </w:pPr>
      <w:r w:rsidRPr="00AE439A">
        <w:t>The ageing related diseases normally caused by oxidative stress, which comes from the high concentration of reactive oxygen species (ROS), especially superoxide and H</w:t>
      </w:r>
      <w:r w:rsidRPr="00AE439A">
        <w:rPr>
          <w:vertAlign w:val="subscript"/>
        </w:rPr>
        <w:t>2</w:t>
      </w:r>
      <w:r w:rsidRPr="00AE439A">
        <w:t>O</w:t>
      </w:r>
      <w:r w:rsidRPr="00AE439A">
        <w:rPr>
          <w:vertAlign w:val="subscript"/>
        </w:rPr>
        <w:t>2</w:t>
      </w:r>
      <w:r w:rsidRPr="00AE439A">
        <w:t>, in human blood. However, the lack of easy operation, high selectivity, and quick response is still the challenge of the quantitative measurement for superoxide anion (O</w:t>
      </w:r>
      <w:r w:rsidRPr="00AE439A">
        <w:rPr>
          <w:vertAlign w:val="subscript"/>
        </w:rPr>
        <w:t>2</w:t>
      </w:r>
      <w:r w:rsidRPr="00AE439A">
        <w:rPr>
          <w:vertAlign w:val="superscript"/>
        </w:rPr>
        <w:t>-</w:t>
      </w:r>
      <w:r w:rsidRPr="00AE439A">
        <w:t xml:space="preserve">∙) in the blood environment. This study is aimed to develop an electrochemical based </w:t>
      </w:r>
      <w:r>
        <w:t>(</w:t>
      </w:r>
      <w:r w:rsidRPr="00AE439A">
        <w:t>O</w:t>
      </w:r>
      <w:r w:rsidRPr="00AE439A">
        <w:rPr>
          <w:vertAlign w:val="subscript"/>
        </w:rPr>
        <w:t>2</w:t>
      </w:r>
      <w:r w:rsidRPr="00AE439A">
        <w:rPr>
          <w:vertAlign w:val="superscript"/>
        </w:rPr>
        <w:t>-</w:t>
      </w:r>
      <w:r w:rsidRPr="00AE439A">
        <w:t>∙) biosensor using enzyme cascade reactions. Compared with the chemiluminescence method, the biosensors showed the advantages of a quick response in 100 seconds, high selectivity for O</w:t>
      </w:r>
      <w:r w:rsidRPr="00AE439A">
        <w:rPr>
          <w:vertAlign w:val="subscript"/>
        </w:rPr>
        <w:t>2</w:t>
      </w:r>
      <w:r w:rsidRPr="00AE439A">
        <w:rPr>
          <w:vertAlign w:val="superscript"/>
        </w:rPr>
        <w:t>-</w:t>
      </w:r>
      <w:r w:rsidRPr="00AE439A">
        <w:t>∙</w:t>
      </w:r>
      <w:r>
        <w:t xml:space="preserve"> </w:t>
      </w:r>
      <w:r w:rsidRPr="00AE439A">
        <w:t>and quantitative measurement of (O</w:t>
      </w:r>
      <w:r w:rsidRPr="00AE439A">
        <w:rPr>
          <w:vertAlign w:val="subscript"/>
        </w:rPr>
        <w:t>2</w:t>
      </w:r>
      <w:r w:rsidRPr="00AE439A">
        <w:rPr>
          <w:vertAlign w:val="superscript"/>
        </w:rPr>
        <w:t>-</w:t>
      </w:r>
      <w:r w:rsidRPr="00AE439A">
        <w:t>∙) around 0.2 mM H</w:t>
      </w:r>
      <w:r w:rsidRPr="00AE439A">
        <w:rPr>
          <w:vertAlign w:val="subscript"/>
        </w:rPr>
        <w:t>2</w:t>
      </w:r>
      <w:r w:rsidRPr="00AE439A">
        <w:t>O</w:t>
      </w:r>
      <w:r w:rsidRPr="00AE439A">
        <w:rPr>
          <w:vertAlign w:val="subscript"/>
        </w:rPr>
        <w:t>2</w:t>
      </w:r>
      <w:r w:rsidRPr="00AE439A">
        <w:t xml:space="preserve"> eq. in volunteer blood samples.</w:t>
      </w:r>
    </w:p>
    <w:p w14:paraId="68CE130C" w14:textId="77777777" w:rsidR="00204144" w:rsidRDefault="00204144" w:rsidP="00E0716D">
      <w:pPr>
        <w:jc w:val="both"/>
      </w:pPr>
    </w:p>
    <w:p w14:paraId="37600961" w14:textId="77777777" w:rsidR="00204144" w:rsidRDefault="003D0D08" w:rsidP="00E0716D">
      <w:pPr>
        <w:jc w:val="both"/>
      </w:pPr>
      <w:r w:rsidRPr="003D0D08">
        <w:t xml:space="preserve">The positive temperature coefficient (PTC) effect observed in conductive polymer composites (CPCs) holds significant promise due to its wide materials selection and ability to offer enhanced sensitivity. This study introduces a novel approach leveraging the synergistic effect of an eco-friendly fatty acid, namely lauric acid (LA), with flexible styrene-ethylene-butylene-styrene (SEBS) thermoplastic elastomer (TPE) as a matrix and graphene nanoplatelets (GNPs) as a conductive filler. </w:t>
      </w:r>
    </w:p>
    <w:p w14:paraId="61DF7F2B" w14:textId="1BE0CE27" w:rsidR="00204144" w:rsidRDefault="003D0D08" w:rsidP="00E0716D">
      <w:pPr>
        <w:jc w:val="both"/>
      </w:pPr>
      <w:r w:rsidRPr="003D0D08">
        <w:t xml:space="preserve">The composite film demonstrates exceptional temperature responsiveness at body-relevant temperatures (35–40 °C) with a PTC intensity reaching an unprecedented 4 orders of magnitude, set apart by its fine-tuning ability across a remarkable detecting temperature interval (Maximum temperature coefficient of resistance (TCR): 471.4% °C−1). </w:t>
      </w:r>
      <w:r w:rsidR="00204144" w:rsidRPr="003D0D08">
        <w:t>The flexible composite demonstrates significant potential for body temperature sensing, self-regulating heating, and passive cooling, paving the way for future developments in eco-friendly, highly sensitive, and flexible sensors in wearable health monitoring and thermotherapy.</w:t>
      </w:r>
    </w:p>
    <w:p w14:paraId="4BEEFBC4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204144"/>
    <w:rsid w:val="00230CA9"/>
    <w:rsid w:val="00290A6B"/>
    <w:rsid w:val="00325004"/>
    <w:rsid w:val="003D0D08"/>
    <w:rsid w:val="004F58D2"/>
    <w:rsid w:val="00536366"/>
    <w:rsid w:val="00685C1A"/>
    <w:rsid w:val="00AE439A"/>
    <w:rsid w:val="00D550EE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B9071"/>
  <w14:defaultImageDpi w14:val="300"/>
  <w15:docId w15:val="{533B1967-6080-1545-8EF5-BDC8CC41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341</Words>
  <Characters>2014</Characters>
  <Application>Microsoft Office Word</Application>
  <DocSecurity>0</DocSecurity>
  <Lines>49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Eileen Yu</cp:lastModifiedBy>
  <cp:revision>5</cp:revision>
  <cp:lastPrinted>2013-10-21T12:07:00Z</cp:lastPrinted>
  <dcterms:created xsi:type="dcterms:W3CDTF">2026-06-05T22:55:00Z</dcterms:created>
  <dcterms:modified xsi:type="dcterms:W3CDTF">2026-06-05T23:11:00Z</dcterms:modified>
</cp:coreProperties>
</file>