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A27D" w14:textId="427FF150" w:rsidR="00E62450" w:rsidRDefault="00000000">
      <w:pPr>
        <w:spacing w:after="120"/>
        <w:jc w:val="center"/>
      </w:pPr>
      <w:r>
        <w:rPr>
          <w:b/>
          <w:bCs/>
          <w:sz w:val="28"/>
          <w:szCs w:val="28"/>
        </w:rPr>
        <w:t>Operando X-ray Absorption Spectroscopy Reveals V–O–Fe Interfacial Coupling as the Origin of Enhanced Oxygen Evolution in CoFe@V</w:t>
      </w:r>
      <w:r>
        <w:rPr>
          <w:b/>
          <w:bCs/>
          <w:vertAlign w:val="subscript"/>
        </w:rPr>
        <w:t>2</w:t>
      </w:r>
      <w:r>
        <w:rPr>
          <w:b/>
          <w:bCs/>
          <w:sz w:val="28"/>
          <w:szCs w:val="28"/>
        </w:rPr>
        <w:t>CT</w:t>
      </w:r>
      <w:r>
        <w:rPr>
          <w:b/>
          <w:bCs/>
          <w:vertAlign w:val="subscript"/>
        </w:rPr>
        <w:t>x</w:t>
      </w:r>
      <w:r>
        <w:rPr>
          <w:b/>
          <w:bCs/>
          <w:sz w:val="28"/>
          <w:szCs w:val="28"/>
        </w:rPr>
        <w:t xml:space="preserve"> MXene Composites</w:t>
      </w:r>
    </w:p>
    <w:p w14:paraId="68D98D8E" w14:textId="5C623E28" w:rsidR="00E62450" w:rsidRDefault="00000000">
      <w:pPr>
        <w:jc w:val="center"/>
      </w:pPr>
      <w:r>
        <w:t>Can Kaplan</w:t>
      </w:r>
      <w:r w:rsidR="009D4A70" w:rsidRPr="009D4A70">
        <w:rPr>
          <w:vertAlign w:val="superscript"/>
        </w:rPr>
        <w:t>1</w:t>
      </w:r>
      <w:r>
        <w:t>, Bastian Schmiedecke</w:t>
      </w:r>
      <w:r w:rsidR="009D4A70" w:rsidRPr="009D4A70">
        <w:rPr>
          <w:vertAlign w:val="superscript"/>
        </w:rPr>
        <w:t>1</w:t>
      </w:r>
      <w:r>
        <w:t>, Thorsten Schutz</w:t>
      </w:r>
      <w:r w:rsidR="009D4A70" w:rsidRPr="009D4A70">
        <w:rPr>
          <w:vertAlign w:val="superscript"/>
        </w:rPr>
        <w:t>1</w:t>
      </w:r>
      <w:r w:rsidR="009D4A70">
        <w:rPr>
          <w:vertAlign w:val="superscript"/>
        </w:rPr>
        <w:t>,</w:t>
      </w:r>
      <w:r w:rsidR="009D4A70" w:rsidRPr="009D4A70">
        <w:rPr>
          <w:i/>
          <w:iCs/>
          <w:vertAlign w:val="superscript"/>
        </w:rPr>
        <w:t xml:space="preserve"> </w:t>
      </w:r>
      <w:r w:rsidR="009D4A70" w:rsidRPr="009D4A70">
        <w:rPr>
          <w:i/>
          <w:iCs/>
          <w:vertAlign w:val="superscript"/>
        </w:rPr>
        <w:t>2</w:t>
      </w:r>
      <w:r>
        <w:t xml:space="preserve">, </w:t>
      </w:r>
      <w:proofErr w:type="spellStart"/>
      <w:r>
        <w:t>Xuyun</w:t>
      </w:r>
      <w:proofErr w:type="spellEnd"/>
      <w:r>
        <w:t xml:space="preserve"> Guo</w:t>
      </w:r>
      <w:r w:rsidR="009D4A70" w:rsidRPr="009D4A70">
        <w:rPr>
          <w:i/>
          <w:iCs/>
          <w:vertAlign w:val="superscript"/>
        </w:rPr>
        <w:t>3</w:t>
      </w:r>
      <w:r>
        <w:t>, Aline Emerenciano</w:t>
      </w:r>
      <w:r w:rsidR="009D4A70" w:rsidRPr="009D4A70">
        <w:rPr>
          <w:vertAlign w:val="superscript"/>
        </w:rPr>
        <w:t>1</w:t>
      </w:r>
      <w:r>
        <w:t>, Valeria Nicolosi</w:t>
      </w:r>
      <w:r w:rsidR="009D4A70" w:rsidRPr="009D4A70">
        <w:rPr>
          <w:i/>
          <w:iCs/>
          <w:vertAlign w:val="superscript"/>
        </w:rPr>
        <w:t>3</w:t>
      </w:r>
      <w:r>
        <w:t>, Norbert Koch</w:t>
      </w:r>
      <w:r w:rsidR="009D4A70" w:rsidRPr="009D4A70">
        <w:rPr>
          <w:vertAlign w:val="superscript"/>
        </w:rPr>
        <w:t>1</w:t>
      </w:r>
      <w:r w:rsidR="009D4A70">
        <w:rPr>
          <w:vertAlign w:val="superscript"/>
        </w:rPr>
        <w:t>,</w:t>
      </w:r>
      <w:r w:rsidR="009D4A70" w:rsidRPr="009D4A70">
        <w:rPr>
          <w:i/>
          <w:iCs/>
          <w:vertAlign w:val="superscript"/>
        </w:rPr>
        <w:t xml:space="preserve"> </w:t>
      </w:r>
      <w:r w:rsidR="009D4A70" w:rsidRPr="009D4A70">
        <w:rPr>
          <w:i/>
          <w:iCs/>
          <w:vertAlign w:val="superscript"/>
        </w:rPr>
        <w:t>2</w:t>
      </w:r>
      <w:r>
        <w:t>, and Michelle P. Browne</w:t>
      </w:r>
      <w:r w:rsidR="009D4A70" w:rsidRPr="009D4A70">
        <w:rPr>
          <w:vertAlign w:val="superscript"/>
        </w:rPr>
        <w:t>1</w:t>
      </w:r>
    </w:p>
    <w:p w14:paraId="7D1877A5" w14:textId="77777777" w:rsidR="00E62450" w:rsidRDefault="00E62450"/>
    <w:p w14:paraId="2EB2E6D5" w14:textId="7D0B4D8B" w:rsidR="00E62450" w:rsidRDefault="009D4A70" w:rsidP="009D4A70">
      <w:r w:rsidRPr="009D4A70">
        <w:rPr>
          <w:vertAlign w:val="superscript"/>
        </w:rPr>
        <w:t>1</w:t>
      </w:r>
      <w:r w:rsidR="00000000">
        <w:rPr>
          <w:i/>
          <w:iCs/>
        </w:rPr>
        <w:t>Helmholtz Young Investigator Group Electrocatalysis: Synthesis to Devices, Helmholtz-Zentrum Berlin</w:t>
      </w:r>
      <w:r>
        <w:rPr>
          <w:i/>
          <w:iCs/>
        </w:rPr>
        <w:t xml:space="preserve"> </w:t>
      </w:r>
      <w:r w:rsidR="00000000">
        <w:rPr>
          <w:i/>
          <w:iCs/>
        </w:rPr>
        <w:t xml:space="preserve">für </w:t>
      </w:r>
      <w:proofErr w:type="spellStart"/>
      <w:r w:rsidR="00000000">
        <w:rPr>
          <w:i/>
          <w:iCs/>
        </w:rPr>
        <w:t>Materialien</w:t>
      </w:r>
      <w:proofErr w:type="spellEnd"/>
      <w:r w:rsidR="00000000">
        <w:rPr>
          <w:i/>
          <w:iCs/>
        </w:rPr>
        <w:t xml:space="preserve"> und Energie GmbH, Hahn-Meitner-Platz 1, 14109 Berlin, Germany</w:t>
      </w:r>
    </w:p>
    <w:p w14:paraId="204E56D1" w14:textId="0C65F655" w:rsidR="00E62450" w:rsidRPr="00976273" w:rsidRDefault="009D4A70" w:rsidP="009D4A70">
      <w:pPr>
        <w:rPr>
          <w:lang w:val="de-DE"/>
        </w:rPr>
      </w:pPr>
      <w:r w:rsidRPr="009D4A70">
        <w:rPr>
          <w:i/>
          <w:iCs/>
          <w:vertAlign w:val="superscript"/>
          <w:lang w:val="de-DE"/>
        </w:rPr>
        <w:t>2</w:t>
      </w:r>
      <w:r w:rsidR="00000000" w:rsidRPr="00976273">
        <w:rPr>
          <w:i/>
          <w:iCs/>
          <w:lang w:val="de-DE"/>
        </w:rPr>
        <w:t>Institut für Physik &amp; CSMB, Humboldt-Universität zu Berlin, 12489 Berlin, Germany</w:t>
      </w:r>
    </w:p>
    <w:p w14:paraId="786556CE" w14:textId="709D8268" w:rsidR="00E62450" w:rsidRDefault="009D4A70" w:rsidP="009D4A70">
      <w:r w:rsidRPr="009D4A70">
        <w:rPr>
          <w:i/>
          <w:iCs/>
          <w:vertAlign w:val="superscript"/>
        </w:rPr>
        <w:t>3</w:t>
      </w:r>
      <w:r w:rsidR="00000000">
        <w:rPr>
          <w:i/>
          <w:iCs/>
        </w:rPr>
        <w:t>School of Chemistry, CRANN and AMBER Research Centers, Trinity College Dublin, Dublin 2, Ireland</w:t>
      </w:r>
    </w:p>
    <w:p w14:paraId="62C01698" w14:textId="77777777" w:rsidR="00E62450" w:rsidRDefault="00E62450" w:rsidP="009D4A70"/>
    <w:p w14:paraId="7E2FA580" w14:textId="77777777" w:rsidR="00E62450" w:rsidRDefault="00000000">
      <w:pPr>
        <w:jc w:val="center"/>
      </w:pPr>
      <w:r>
        <w:rPr>
          <w:i/>
          <w:iCs/>
        </w:rPr>
        <w:t>Can.Kaplan@helmholtz-berlin.de</w:t>
      </w:r>
    </w:p>
    <w:p w14:paraId="79C49EE4" w14:textId="77777777" w:rsidR="00976273" w:rsidRDefault="00976273"/>
    <w:p w14:paraId="6A5F0054" w14:textId="3EF68B15" w:rsidR="00E62450" w:rsidRDefault="00737CBC" w:rsidP="00737CBC">
      <w:pPr>
        <w:jc w:val="both"/>
      </w:pPr>
      <w:r>
        <w:t xml:space="preserve">Developing active and durable non-precious metal catalysts for the oxygen evolution reaction (OER) is central to the viability of anion exchange membrane water </w:t>
      </w:r>
      <w:proofErr w:type="spellStart"/>
      <w:r>
        <w:t>electrolysers</w:t>
      </w:r>
      <w:proofErr w:type="spellEnd"/>
      <w:r>
        <w:t>. MXenes - two-dimensional transition metal carbides - have attracted considerable interest as catalyst supports due to their metallic conductivity and tunable surface chemistry, but the mechanistic role of metal-support interactions in governing catalytic activity has remained poorly understood. Here we report operando X-ray absorption spectroscopy (XAS) at the Co and Fe K-edges, as the primary tool to elucidate the origin of enhanced OER activity in CoFe@V</w:t>
      </w:r>
      <w:r>
        <w:rPr>
          <w:vertAlign w:val="subscript"/>
        </w:rPr>
        <w:t>2</w:t>
      </w:r>
      <w:r>
        <w:t>CT</w:t>
      </w:r>
      <w:r>
        <w:rPr>
          <w:vertAlign w:val="subscript"/>
        </w:rPr>
        <w:t>x</w:t>
      </w:r>
      <w:r>
        <w:t xml:space="preserve"> MXene composite catalysts with systematically varied vanadium content.</w:t>
      </w:r>
    </w:p>
    <w:p w14:paraId="2DCEE8C8" w14:textId="13427135" w:rsidR="009D4A70" w:rsidRDefault="009D4A70" w:rsidP="00737CBC">
      <w:pPr>
        <w:jc w:val="both"/>
      </w:pPr>
      <w:r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1EC34626" wp14:editId="26988538">
            <wp:simplePos x="0" y="0"/>
            <wp:positionH relativeFrom="column">
              <wp:posOffset>2548255</wp:posOffset>
            </wp:positionH>
            <wp:positionV relativeFrom="paragraph">
              <wp:posOffset>81280</wp:posOffset>
            </wp:positionV>
            <wp:extent cx="2774315" cy="2581275"/>
            <wp:effectExtent l="0" t="0" r="6985" b="0"/>
            <wp:wrapSquare wrapText="bothSides"/>
            <wp:docPr id="837708470" name="Grafik 2" descr="Ein Bild, das Text, Screenshot, Diagramm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708470" name="Grafik 2" descr="Ein Bild, das Text, Screenshot, Diagramm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1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B025F" w14:textId="32926A0A" w:rsidR="00737CBC" w:rsidRDefault="00000000" w:rsidP="00737CBC">
      <w:pPr>
        <w:jc w:val="both"/>
      </w:pPr>
      <w:r>
        <w:t xml:space="preserve">Through combined structural </w:t>
      </w:r>
      <w:proofErr w:type="spellStart"/>
      <w:r>
        <w:t>characterisation</w:t>
      </w:r>
      <w:proofErr w:type="spellEnd"/>
      <w:r>
        <w:t xml:space="preserve"> by XRD, TEM, and STXM, we identify that the optimal composition CFV17 (17 mol% V) promotes the interfacial nucleation of a </w:t>
      </w:r>
      <w:proofErr w:type="spellStart"/>
      <w:r>
        <w:t>CoFOH</w:t>
      </w:r>
      <w:proofErr w:type="spellEnd"/>
      <w:r>
        <w:t xml:space="preserve"> and </w:t>
      </w:r>
      <w:proofErr w:type="spellStart"/>
      <w:r>
        <w:t>FeOOH</w:t>
      </w:r>
      <w:proofErr w:type="spellEnd"/>
      <w:r>
        <w:t xml:space="preserve"> </w:t>
      </w:r>
      <w:r w:rsidR="00976273">
        <w:t xml:space="preserve">phases </w:t>
      </w:r>
      <w:r>
        <w:t>at the V</w:t>
      </w:r>
      <w:r>
        <w:rPr>
          <w:vertAlign w:val="subscript"/>
        </w:rPr>
        <w:t>2</w:t>
      </w:r>
      <w:r>
        <w:t>CT</w:t>
      </w:r>
      <w:r>
        <w:rPr>
          <w:vertAlign w:val="subscript"/>
        </w:rPr>
        <w:t>x</w:t>
      </w:r>
      <w:r>
        <w:t xml:space="preserve"> surface</w:t>
      </w:r>
      <w:r w:rsidR="00976273">
        <w:t xml:space="preserve"> which are </w:t>
      </w:r>
      <w:r>
        <w:t xml:space="preserve">absent in pure </w:t>
      </w:r>
      <w:proofErr w:type="spellStart"/>
      <w:r>
        <w:t>CoFe</w:t>
      </w:r>
      <w:proofErr w:type="spellEnd"/>
      <w:r>
        <w:t xml:space="preserve"> and </w:t>
      </w:r>
      <w:r w:rsidR="00976273">
        <w:t>most abundant</w:t>
      </w:r>
      <w:r>
        <w:t xml:space="preserve"> at CFV17. STXM at the V and Fe L-edges reveals simultaneous oxidation of both V and Fe in the composites relative to their isolated counterparts, with Co remaining invariant, consistent with V–O–Fe bridging coordination at the </w:t>
      </w:r>
      <w:proofErr w:type="spellStart"/>
      <w:r>
        <w:t>FeOOH</w:t>
      </w:r>
      <w:proofErr w:type="spellEnd"/>
      <w:r>
        <w:t>/V</w:t>
      </w:r>
      <w:r>
        <w:rPr>
          <w:vertAlign w:val="subscript"/>
        </w:rPr>
        <w:t>2</w:t>
      </w:r>
      <w:r>
        <w:t>CT</w:t>
      </w:r>
      <w:r>
        <w:rPr>
          <w:vertAlign w:val="subscript"/>
        </w:rPr>
        <w:t>x</w:t>
      </w:r>
      <w:r>
        <w:t xml:space="preserve"> heterointerface withdrawing electron density from both metal </w:t>
      </w:r>
      <w:proofErr w:type="spellStart"/>
      <w:r>
        <w:t>centres</w:t>
      </w:r>
      <w:proofErr w:type="spellEnd"/>
      <w:r>
        <w:t xml:space="preserve"> through shared interfacial oxygen.</w:t>
      </w:r>
    </w:p>
    <w:p w14:paraId="0457DCC6" w14:textId="77777777" w:rsidR="009D4A70" w:rsidRPr="00737CBC" w:rsidRDefault="009D4A70" w:rsidP="00737CBC">
      <w:pPr>
        <w:jc w:val="both"/>
      </w:pPr>
    </w:p>
    <w:p w14:paraId="5608853C" w14:textId="473C40D1" w:rsidR="00E62450" w:rsidRDefault="00737CBC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5ADDE6" wp14:editId="7EF387AD">
                <wp:simplePos x="0" y="0"/>
                <wp:positionH relativeFrom="column">
                  <wp:posOffset>2625090</wp:posOffset>
                </wp:positionH>
                <wp:positionV relativeFrom="paragraph">
                  <wp:posOffset>288290</wp:posOffset>
                </wp:positionV>
                <wp:extent cx="2695575" cy="781050"/>
                <wp:effectExtent l="0" t="0" r="9525" b="0"/>
                <wp:wrapSquare wrapText="bothSides"/>
                <wp:docPr id="42839444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781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E0ADAF" w14:textId="6D83DF23" w:rsidR="00737CBC" w:rsidRPr="00A93F9D" w:rsidRDefault="00737CBC" w:rsidP="00737CBC">
                            <w:pPr>
                              <w:pStyle w:val="Beschriftung"/>
                              <w:jc w:val="both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737CBC">
                              <w:rPr>
                                <w:b/>
                              </w:rPr>
                              <w:t xml:space="preserve">Figure </w:t>
                            </w:r>
                            <w:r w:rsidRPr="00737CBC">
                              <w:rPr>
                                <w:b/>
                              </w:rPr>
                              <w:fldChar w:fldCharType="begin"/>
                            </w:r>
                            <w:r w:rsidRPr="00737CBC">
                              <w:rPr>
                                <w:b/>
                              </w:rPr>
                              <w:instrText xml:space="preserve"> SEQ Figure \* ARABIC </w:instrText>
                            </w:r>
                            <w:r w:rsidRPr="00737CBC">
                              <w:rPr>
                                <w:b/>
                              </w:rPr>
                              <w:fldChar w:fldCharType="separate"/>
                            </w:r>
                            <w:r w:rsidR="00724D35"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737CBC">
                              <w:rPr>
                                <w:b/>
                              </w:rPr>
                              <w:fldChar w:fldCharType="end"/>
                            </w:r>
                            <w:r>
                              <w:t xml:space="preserve">. </w:t>
                            </w:r>
                            <w:r w:rsidRPr="00737CBC">
                              <w:t xml:space="preserve">Operando XAS analysis of </w:t>
                            </w:r>
                            <w:proofErr w:type="spellStart"/>
                            <w:r w:rsidRPr="00737CBC">
                              <w:t>CoFe</w:t>
                            </w:r>
                            <w:proofErr w:type="spellEnd"/>
                            <w:r w:rsidRPr="00737CBC">
                              <w:t xml:space="preserve"> and CFV17-50. a) Co K-edge positions vs. applied potentials and </w:t>
                            </w:r>
                            <w:proofErr w:type="spellStart"/>
                            <w:r w:rsidRPr="00737CBC">
                              <w:t>exsitu</w:t>
                            </w:r>
                            <w:proofErr w:type="spellEnd"/>
                            <w:r w:rsidRPr="00737CBC">
                              <w:t xml:space="preserve"> Co-references. b) Fe K-edge positions vs. applied potentials and </w:t>
                            </w:r>
                            <w:proofErr w:type="spellStart"/>
                            <w:r w:rsidRPr="00737CBC">
                              <w:t>exsitu</w:t>
                            </w:r>
                            <w:proofErr w:type="spellEnd"/>
                            <w:r w:rsidRPr="00737CBC">
                              <w:t xml:space="preserve"> Fe-references. c-d) EXAFS analysis of </w:t>
                            </w:r>
                            <w:proofErr w:type="spellStart"/>
                            <w:r w:rsidRPr="00737CBC">
                              <w:t>CoFe</w:t>
                            </w:r>
                            <w:proofErr w:type="spellEnd"/>
                            <w:r w:rsidRPr="00737CBC">
                              <w:t xml:space="preserve"> and CFV17-50. c) Co fine structure and d) Fe fine structure at different applied potentials vs. RHE.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ADDE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206.7pt;margin-top:22.7pt;width:212.2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" stroked="f">
                <v:textbox inset="0,0,0,0">
                  <w:txbxContent>
                    <w:p w14:paraId="13E0ADAF" w14:textId="6D83DF23" w:rsidR="00737CBC" w:rsidRPr="00A93F9D" w:rsidRDefault="00737CBC" w:rsidP="00737CBC">
                      <w:pPr>
                        <w:pStyle w:val="Beschriftung"/>
                        <w:jc w:val="both"/>
                        <w:rPr>
                          <w:noProof/>
                          <w:sz w:val="20"/>
                          <w:szCs w:val="20"/>
                        </w:rPr>
                      </w:pPr>
                      <w:r w:rsidRPr="00737CBC">
                        <w:rPr>
                          <w:b/>
                        </w:rPr>
                        <w:t xml:space="preserve">Figure </w:t>
                      </w:r>
                      <w:r w:rsidRPr="00737CBC">
                        <w:rPr>
                          <w:b/>
                        </w:rPr>
                        <w:fldChar w:fldCharType="begin"/>
                      </w:r>
                      <w:r w:rsidRPr="00737CBC">
                        <w:rPr>
                          <w:b/>
                        </w:rPr>
                        <w:instrText xml:space="preserve"> SEQ Figure \* ARABIC </w:instrText>
                      </w:r>
                      <w:r w:rsidRPr="00737CBC">
                        <w:rPr>
                          <w:b/>
                        </w:rPr>
                        <w:fldChar w:fldCharType="separate"/>
                      </w:r>
                      <w:r w:rsidR="00724D35">
                        <w:rPr>
                          <w:b/>
                          <w:noProof/>
                        </w:rPr>
                        <w:t>1</w:t>
                      </w:r>
                      <w:r w:rsidRPr="00737CBC">
                        <w:rPr>
                          <w:b/>
                        </w:rPr>
                        <w:fldChar w:fldCharType="end"/>
                      </w:r>
                      <w:r>
                        <w:t xml:space="preserve">. </w:t>
                      </w:r>
                      <w:r w:rsidRPr="00737CBC">
                        <w:t xml:space="preserve">Operando XAS analysis of </w:t>
                      </w:r>
                      <w:proofErr w:type="spellStart"/>
                      <w:r w:rsidRPr="00737CBC">
                        <w:t>CoFe</w:t>
                      </w:r>
                      <w:proofErr w:type="spellEnd"/>
                      <w:r w:rsidRPr="00737CBC">
                        <w:t xml:space="preserve"> and CFV17-50. a) Co K-edge positions vs. applied potentials and </w:t>
                      </w:r>
                      <w:proofErr w:type="spellStart"/>
                      <w:r w:rsidRPr="00737CBC">
                        <w:t>exsitu</w:t>
                      </w:r>
                      <w:proofErr w:type="spellEnd"/>
                      <w:r w:rsidRPr="00737CBC">
                        <w:t xml:space="preserve"> Co-references. b) Fe K-edge positions vs. applied potentials and </w:t>
                      </w:r>
                      <w:proofErr w:type="spellStart"/>
                      <w:r w:rsidRPr="00737CBC">
                        <w:t>exsitu</w:t>
                      </w:r>
                      <w:proofErr w:type="spellEnd"/>
                      <w:r w:rsidRPr="00737CBC">
                        <w:t xml:space="preserve"> Fe-references. c-d) EXAFS analysis of </w:t>
                      </w:r>
                      <w:proofErr w:type="spellStart"/>
                      <w:r w:rsidRPr="00737CBC">
                        <w:t>CoFe</w:t>
                      </w:r>
                      <w:proofErr w:type="spellEnd"/>
                      <w:r w:rsidRPr="00737CBC">
                        <w:t xml:space="preserve"> and CFV17-50. c) Co fine structure and d) Fe fine structure at different applied potentials vs. RHE.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Operando XANES at the Co K-edge demonstrates that CFV17 drives cobalt into oxidation states exceeding the Co</w:t>
      </w:r>
      <w:r>
        <w:rPr>
          <w:vertAlign w:val="superscript"/>
        </w:rPr>
        <w:t>3+</w:t>
      </w:r>
      <w:r>
        <w:t xml:space="preserve"> LiCoO</w:t>
      </w:r>
      <w:r>
        <w:rPr>
          <w:vertAlign w:val="subscript"/>
        </w:rPr>
        <w:t>2</w:t>
      </w:r>
      <w:r>
        <w:t xml:space="preserve"> reference at potentials approximately 150 mV lower than pure </w:t>
      </w:r>
      <w:proofErr w:type="spellStart"/>
      <w:r>
        <w:t>CoFe</w:t>
      </w:r>
      <w:proofErr w:type="spellEnd"/>
      <w:r>
        <w:t xml:space="preserve"> (</w:t>
      </w:r>
      <w:r>
        <w:rPr>
          <w:b/>
          <w:bCs/>
        </w:rPr>
        <w:t>Figure 1</w:t>
      </w:r>
      <w:r>
        <w:t>). Simultaneously, the Fe K-edge in CFV17 advances to energies 2.7–3.0 eV above the 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reference under operating conditions -  energies inaccessible in pure </w:t>
      </w:r>
      <w:proofErr w:type="spellStart"/>
      <w:r>
        <w:t>CoFe</w:t>
      </w:r>
      <w:proofErr w:type="spellEnd"/>
      <w:r>
        <w:t xml:space="preserve"> - indicating further oxidation of already highly </w:t>
      </w:r>
      <w:proofErr w:type="spellStart"/>
      <w:r>
        <w:t>oxidised</w:t>
      </w:r>
      <w:proofErr w:type="spellEnd"/>
      <w:r>
        <w:t xml:space="preserve"> Fe </w:t>
      </w:r>
      <w:proofErr w:type="spellStart"/>
      <w:r>
        <w:t>centres</w:t>
      </w:r>
      <w:proofErr w:type="spellEnd"/>
      <w:r>
        <w:t xml:space="preserve"> enabled by the V</w:t>
      </w:r>
      <w:r>
        <w:rPr>
          <w:vertAlign w:val="subscript"/>
        </w:rPr>
        <w:t>2</w:t>
      </w:r>
      <w:r>
        <w:t>CT</w:t>
      </w:r>
      <w:r>
        <w:rPr>
          <w:vertAlign w:val="subscript"/>
        </w:rPr>
        <w:t>x</w:t>
      </w:r>
      <w:r>
        <w:t xml:space="preserve"> support. Operando EXAFS analysis reveals that V</w:t>
      </w:r>
      <w:r>
        <w:rPr>
          <w:vertAlign w:val="subscript"/>
        </w:rPr>
        <w:t>2</w:t>
      </w:r>
      <w:r>
        <w:t>CT</w:t>
      </w:r>
      <w:r>
        <w:rPr>
          <w:vertAlign w:val="subscript"/>
        </w:rPr>
        <w:t>x</w:t>
      </w:r>
      <w:r>
        <w:t xml:space="preserve"> </w:t>
      </w:r>
      <w:proofErr w:type="spellStart"/>
      <w:r>
        <w:t>stabilises</w:t>
      </w:r>
      <w:proofErr w:type="spellEnd"/>
      <w:r>
        <w:t xml:space="preserve"> the Co–O bond distance and prevents the Fe second coordination shell collapse observed in pure </w:t>
      </w:r>
      <w:proofErr w:type="spellStart"/>
      <w:r>
        <w:t>CoFe</w:t>
      </w:r>
      <w:proofErr w:type="spellEnd"/>
      <w:r>
        <w:t xml:space="preserve"> under prolonged </w:t>
      </w:r>
      <w:proofErr w:type="spellStart"/>
      <w:r>
        <w:t>polarisation</w:t>
      </w:r>
      <w:proofErr w:type="spellEnd"/>
      <w:r>
        <w:t>, providing direct structural evidence that the MXene support protects active site integrity during OER.</w:t>
      </w:r>
      <w:r w:rsidR="0055071D">
        <w:t xml:space="preserve"> </w:t>
      </w:r>
      <w:r>
        <w:t xml:space="preserve">These findings establish V–O–Fe interfacial coordination as the central mechanistic principle governing OER enhancement in MXene-supported </w:t>
      </w:r>
      <w:proofErr w:type="spellStart"/>
      <w:r>
        <w:t>CoFe</w:t>
      </w:r>
      <w:proofErr w:type="spellEnd"/>
      <w:r>
        <w:t xml:space="preserve"> catalysts and provide operando evidence linking ground-state interfacial electronic structure to active site generation under applied potential.</w:t>
      </w:r>
    </w:p>
    <w:sectPr w:rsidR="00E62450">
      <w:pgSz w:w="11906" w:h="16838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277D3"/>
    <w:multiLevelType w:val="hybridMultilevel"/>
    <w:tmpl w:val="75ACDDF0"/>
    <w:lvl w:ilvl="0" w:tplc="ED4404FE">
      <w:start w:val="1"/>
      <w:numFmt w:val="bullet"/>
      <w:lvlText w:val="●"/>
      <w:lvlJc w:val="left"/>
      <w:pPr>
        <w:ind w:left="720" w:hanging="360"/>
      </w:pPr>
    </w:lvl>
    <w:lvl w:ilvl="1" w:tplc="E54C5AE2">
      <w:start w:val="1"/>
      <w:numFmt w:val="bullet"/>
      <w:lvlText w:val="○"/>
      <w:lvlJc w:val="left"/>
      <w:pPr>
        <w:ind w:left="1440" w:hanging="360"/>
      </w:pPr>
    </w:lvl>
    <w:lvl w:ilvl="2" w:tplc="2634DA90">
      <w:start w:val="1"/>
      <w:numFmt w:val="bullet"/>
      <w:lvlText w:val="■"/>
      <w:lvlJc w:val="left"/>
      <w:pPr>
        <w:ind w:left="2160" w:hanging="360"/>
      </w:pPr>
    </w:lvl>
    <w:lvl w:ilvl="3" w:tplc="4EA80124">
      <w:start w:val="1"/>
      <w:numFmt w:val="bullet"/>
      <w:lvlText w:val="●"/>
      <w:lvlJc w:val="left"/>
      <w:pPr>
        <w:ind w:left="2880" w:hanging="360"/>
      </w:pPr>
    </w:lvl>
    <w:lvl w:ilvl="4" w:tplc="40567EFE">
      <w:start w:val="1"/>
      <w:numFmt w:val="bullet"/>
      <w:lvlText w:val="○"/>
      <w:lvlJc w:val="left"/>
      <w:pPr>
        <w:ind w:left="3600" w:hanging="360"/>
      </w:pPr>
    </w:lvl>
    <w:lvl w:ilvl="5" w:tplc="609E0BB6">
      <w:start w:val="1"/>
      <w:numFmt w:val="bullet"/>
      <w:lvlText w:val="■"/>
      <w:lvlJc w:val="left"/>
      <w:pPr>
        <w:ind w:left="4320" w:hanging="360"/>
      </w:pPr>
    </w:lvl>
    <w:lvl w:ilvl="6" w:tplc="8FCC0046">
      <w:start w:val="1"/>
      <w:numFmt w:val="bullet"/>
      <w:lvlText w:val="●"/>
      <w:lvlJc w:val="left"/>
      <w:pPr>
        <w:ind w:left="5040" w:hanging="360"/>
      </w:pPr>
    </w:lvl>
    <w:lvl w:ilvl="7" w:tplc="B6686682">
      <w:start w:val="1"/>
      <w:numFmt w:val="bullet"/>
      <w:lvlText w:val="●"/>
      <w:lvlJc w:val="left"/>
      <w:pPr>
        <w:ind w:left="5760" w:hanging="360"/>
      </w:pPr>
    </w:lvl>
    <w:lvl w:ilvl="8" w:tplc="F0A8E80E">
      <w:start w:val="1"/>
      <w:numFmt w:val="bullet"/>
      <w:lvlText w:val="●"/>
      <w:lvlJc w:val="left"/>
      <w:pPr>
        <w:ind w:left="6480" w:hanging="360"/>
      </w:pPr>
    </w:lvl>
  </w:abstractNum>
  <w:num w:numId="1" w16cid:durableId="17306920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450"/>
    <w:rsid w:val="0055071D"/>
    <w:rsid w:val="00724D35"/>
    <w:rsid w:val="00737CBC"/>
    <w:rsid w:val="00976273"/>
    <w:rsid w:val="009D4A70"/>
    <w:rsid w:val="00A5753A"/>
    <w:rsid w:val="00C317CC"/>
    <w:rsid w:val="00D66793"/>
    <w:rsid w:val="00E62450"/>
    <w:rsid w:val="00F4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D6B36E"/>
  <w15:docId w15:val="{05D7B9BC-4989-44FE-AED1-028AEDB6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737CB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7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Kaplan, Can</cp:lastModifiedBy>
  <cp:revision>5</cp:revision>
  <cp:lastPrinted>2026-05-12T19:44:00Z</cp:lastPrinted>
  <dcterms:created xsi:type="dcterms:W3CDTF">2026-04-30T15:45:00Z</dcterms:created>
  <dcterms:modified xsi:type="dcterms:W3CDTF">2026-05-12T20:39:00Z</dcterms:modified>
</cp:coreProperties>
</file>