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37F46" w:rsidRPr="00337F46" w:rsidRDefault="00337F46" w:rsidP="00337F46">
      <w:pPr>
        <w:widowControl w:val="0"/>
        <w:spacing w:after="0" w:line="240" w:lineRule="auto"/>
        <w:jc w:val="center"/>
        <w:rPr>
          <w:rFonts w:ascii="Times New Roman" w:eastAsia="Times New Roman" w:hAnsi="Times New Roman" w:cs="Times New Roman"/>
          <w:b/>
          <w:snapToGrid w:val="0"/>
          <w:sz w:val="28"/>
          <w:szCs w:val="20"/>
          <w:lang w:val="en-US"/>
        </w:rPr>
      </w:pPr>
      <w:r w:rsidRPr="00337F46">
        <w:rPr>
          <w:rFonts w:ascii="Times New Roman" w:eastAsia="Times New Roman" w:hAnsi="Times New Roman" w:cs="Times New Roman"/>
          <w:b/>
          <w:snapToGrid w:val="0"/>
          <w:sz w:val="28"/>
          <w:szCs w:val="20"/>
          <w:lang w:val="en-US"/>
        </w:rPr>
        <w:t xml:space="preserve">pH at the Interface: </w:t>
      </w:r>
    </w:p>
    <w:p w:rsidR="00337F46" w:rsidRPr="00337F46" w:rsidRDefault="00337F46" w:rsidP="00337F46">
      <w:pPr>
        <w:widowControl w:val="0"/>
        <w:spacing w:after="0" w:line="240" w:lineRule="auto"/>
        <w:jc w:val="center"/>
        <w:rPr>
          <w:rFonts w:ascii="Times New Roman" w:eastAsia="Times New Roman" w:hAnsi="Times New Roman" w:cs="Times New Roman"/>
          <w:b/>
          <w:snapToGrid w:val="0"/>
          <w:sz w:val="28"/>
          <w:szCs w:val="20"/>
          <w:lang w:val="en-US"/>
        </w:rPr>
      </w:pPr>
      <w:r w:rsidRPr="00337F46">
        <w:rPr>
          <w:rFonts w:ascii="Times New Roman" w:eastAsia="Times New Roman" w:hAnsi="Times New Roman" w:cs="Times New Roman"/>
          <w:b/>
          <w:i/>
          <w:snapToGrid w:val="0"/>
          <w:sz w:val="28"/>
          <w:szCs w:val="20"/>
          <w:lang w:val="en-US"/>
        </w:rPr>
        <w:t>Operando</w:t>
      </w:r>
      <w:r w:rsidRPr="00337F46">
        <w:rPr>
          <w:rFonts w:ascii="Times New Roman" w:eastAsia="Times New Roman" w:hAnsi="Times New Roman" w:cs="Times New Roman"/>
          <w:b/>
          <w:snapToGrid w:val="0"/>
          <w:sz w:val="28"/>
          <w:szCs w:val="20"/>
          <w:lang w:val="en-US"/>
        </w:rPr>
        <w:t xml:space="preserve"> Mapping During Alkaline Hydrogen Electrocatalysis</w:t>
      </w:r>
    </w:p>
    <w:p w:rsidR="00337F46" w:rsidRPr="00337F46" w:rsidRDefault="00337F46" w:rsidP="00337F46">
      <w:pPr>
        <w:widowControl w:val="0"/>
        <w:spacing w:after="0" w:line="240" w:lineRule="auto"/>
        <w:jc w:val="center"/>
        <w:rPr>
          <w:rFonts w:ascii="Times New Roman" w:eastAsia="Times New Roman" w:hAnsi="Times New Roman" w:cs="Times New Roman"/>
          <w:b/>
          <w:snapToGrid w:val="0"/>
          <w:sz w:val="28"/>
          <w:szCs w:val="20"/>
          <w:lang w:val="en-US"/>
        </w:rPr>
      </w:pPr>
    </w:p>
    <w:p w:rsidR="00337F46" w:rsidRPr="00337F46" w:rsidRDefault="00337F46" w:rsidP="00337F46">
      <w:pPr>
        <w:widowControl w:val="0"/>
        <w:spacing w:after="0" w:line="240" w:lineRule="auto"/>
        <w:jc w:val="center"/>
        <w:rPr>
          <w:rFonts w:ascii="Times New Roman" w:eastAsia="Times New Roman" w:hAnsi="Times New Roman" w:cs="Times New Roman"/>
          <w:snapToGrid w:val="0"/>
          <w:sz w:val="20"/>
          <w:szCs w:val="20"/>
        </w:rPr>
      </w:pPr>
      <w:r w:rsidRPr="00337F46">
        <w:rPr>
          <w:rFonts w:ascii="Times New Roman" w:eastAsia="Times New Roman" w:hAnsi="Times New Roman" w:cs="Times New Roman"/>
          <w:snapToGrid w:val="0"/>
          <w:sz w:val="20"/>
          <w:szCs w:val="20"/>
          <w:u w:val="single"/>
        </w:rPr>
        <w:t xml:space="preserve">Amandine Brige </w:t>
      </w:r>
      <w:r w:rsidRPr="00337F46">
        <w:rPr>
          <w:rFonts w:ascii="Times New Roman" w:eastAsia="Times New Roman" w:hAnsi="Times New Roman" w:cs="Times New Roman"/>
          <w:snapToGrid w:val="0"/>
          <w:sz w:val="20"/>
          <w:szCs w:val="20"/>
          <w:u w:val="single"/>
          <w:vertAlign w:val="superscript"/>
        </w:rPr>
        <w:t>1</w:t>
      </w:r>
      <w:r w:rsidRPr="00337F46">
        <w:rPr>
          <w:rFonts w:ascii="Times New Roman" w:eastAsia="Times New Roman" w:hAnsi="Times New Roman" w:cs="Times New Roman"/>
          <w:snapToGrid w:val="0"/>
          <w:sz w:val="20"/>
          <w:szCs w:val="20"/>
        </w:rPr>
        <w:t xml:space="preserve">, Paul Chassagne </w:t>
      </w:r>
      <w:r w:rsidRPr="00337F46">
        <w:rPr>
          <w:rFonts w:ascii="Times New Roman" w:eastAsia="Times New Roman" w:hAnsi="Times New Roman" w:cs="Times New Roman"/>
          <w:snapToGrid w:val="0"/>
          <w:sz w:val="20"/>
          <w:szCs w:val="20"/>
          <w:vertAlign w:val="superscript"/>
        </w:rPr>
        <w:t>1</w:t>
      </w:r>
      <w:r w:rsidRPr="00337F46">
        <w:rPr>
          <w:rFonts w:ascii="Times New Roman" w:eastAsia="Times New Roman" w:hAnsi="Times New Roman" w:cs="Times New Roman"/>
          <w:snapToGrid w:val="0"/>
          <w:sz w:val="20"/>
          <w:szCs w:val="20"/>
        </w:rPr>
        <w:t xml:space="preserve">, Mathieu Gervais </w:t>
      </w:r>
      <w:r w:rsidRPr="00337F46">
        <w:rPr>
          <w:rFonts w:ascii="Times New Roman" w:eastAsia="Times New Roman" w:hAnsi="Times New Roman" w:cs="Times New Roman"/>
          <w:snapToGrid w:val="0"/>
          <w:sz w:val="20"/>
          <w:szCs w:val="20"/>
          <w:vertAlign w:val="superscript"/>
        </w:rPr>
        <w:t>1</w:t>
      </w:r>
      <w:r w:rsidRPr="00337F46">
        <w:rPr>
          <w:rFonts w:ascii="Times New Roman" w:eastAsia="Times New Roman" w:hAnsi="Times New Roman" w:cs="Times New Roman"/>
          <w:snapToGrid w:val="0"/>
          <w:sz w:val="20"/>
          <w:szCs w:val="20"/>
        </w:rPr>
        <w:t xml:space="preserve">, Julien Massue </w:t>
      </w:r>
      <w:r w:rsidRPr="00337F46">
        <w:rPr>
          <w:rFonts w:ascii="Times New Roman" w:eastAsia="Times New Roman" w:hAnsi="Times New Roman" w:cs="Times New Roman"/>
          <w:snapToGrid w:val="0"/>
          <w:sz w:val="20"/>
          <w:szCs w:val="20"/>
          <w:vertAlign w:val="superscript"/>
        </w:rPr>
        <w:t>1</w:t>
      </w:r>
      <w:r w:rsidRPr="00337F46">
        <w:rPr>
          <w:rFonts w:ascii="Times New Roman" w:eastAsia="Times New Roman" w:hAnsi="Times New Roman" w:cs="Times New Roman"/>
          <w:snapToGrid w:val="0"/>
          <w:sz w:val="20"/>
          <w:szCs w:val="20"/>
        </w:rPr>
        <w:t xml:space="preserve">, </w:t>
      </w:r>
      <w:proofErr w:type="spellStart"/>
      <w:r w:rsidRPr="00337F46">
        <w:rPr>
          <w:rFonts w:ascii="Times New Roman" w:eastAsia="Times New Roman" w:hAnsi="Times New Roman" w:cs="Times New Roman"/>
          <w:snapToGrid w:val="0"/>
          <w:sz w:val="20"/>
          <w:szCs w:val="20"/>
        </w:rPr>
        <w:t>Alexandr</w:t>
      </w:r>
      <w:proofErr w:type="spellEnd"/>
      <w:r w:rsidRPr="00337F46">
        <w:rPr>
          <w:rFonts w:ascii="Times New Roman" w:eastAsia="Times New Roman" w:hAnsi="Times New Roman" w:cs="Times New Roman"/>
          <w:snapToGrid w:val="0"/>
          <w:sz w:val="20"/>
          <w:szCs w:val="20"/>
        </w:rPr>
        <w:t xml:space="preserve"> </w:t>
      </w:r>
      <w:proofErr w:type="spellStart"/>
      <w:r w:rsidRPr="00337F46">
        <w:rPr>
          <w:rFonts w:ascii="Times New Roman" w:eastAsia="Times New Roman" w:hAnsi="Times New Roman" w:cs="Times New Roman"/>
          <w:snapToGrid w:val="0"/>
          <w:sz w:val="20"/>
          <w:szCs w:val="20"/>
        </w:rPr>
        <w:t>Oshchepkov</w:t>
      </w:r>
      <w:proofErr w:type="spellEnd"/>
      <w:r w:rsidRPr="00337F46">
        <w:rPr>
          <w:rFonts w:ascii="Times New Roman" w:eastAsia="Times New Roman" w:hAnsi="Times New Roman" w:cs="Times New Roman"/>
          <w:snapToGrid w:val="0"/>
          <w:sz w:val="20"/>
          <w:szCs w:val="20"/>
        </w:rPr>
        <w:t xml:space="preserve"> </w:t>
      </w:r>
      <w:r w:rsidRPr="00337F46">
        <w:rPr>
          <w:rFonts w:ascii="Times New Roman" w:eastAsia="Times New Roman" w:hAnsi="Times New Roman" w:cs="Times New Roman"/>
          <w:snapToGrid w:val="0"/>
          <w:sz w:val="20"/>
          <w:szCs w:val="20"/>
          <w:vertAlign w:val="superscript"/>
        </w:rPr>
        <w:t>2</w:t>
      </w:r>
      <w:r w:rsidRPr="00337F46">
        <w:rPr>
          <w:rFonts w:ascii="Times New Roman" w:eastAsia="Times New Roman" w:hAnsi="Times New Roman" w:cs="Times New Roman"/>
          <w:snapToGrid w:val="0"/>
          <w:sz w:val="20"/>
          <w:szCs w:val="20"/>
        </w:rPr>
        <w:t xml:space="preserve">, Elena </w:t>
      </w:r>
      <w:proofErr w:type="spellStart"/>
      <w:r w:rsidRPr="00337F46">
        <w:rPr>
          <w:rFonts w:ascii="Times New Roman" w:eastAsia="Times New Roman" w:hAnsi="Times New Roman" w:cs="Times New Roman"/>
          <w:snapToGrid w:val="0"/>
          <w:sz w:val="20"/>
          <w:szCs w:val="20"/>
        </w:rPr>
        <w:t>Savinova</w:t>
      </w:r>
      <w:proofErr w:type="spellEnd"/>
      <w:r w:rsidRPr="00337F46">
        <w:rPr>
          <w:rFonts w:ascii="Times New Roman" w:eastAsia="Times New Roman" w:hAnsi="Times New Roman" w:cs="Times New Roman"/>
          <w:snapToGrid w:val="0"/>
          <w:sz w:val="20"/>
          <w:szCs w:val="20"/>
        </w:rPr>
        <w:t xml:space="preserve"> </w:t>
      </w:r>
      <w:r w:rsidRPr="00337F46">
        <w:rPr>
          <w:rFonts w:ascii="Times New Roman" w:eastAsia="Times New Roman" w:hAnsi="Times New Roman" w:cs="Times New Roman"/>
          <w:snapToGrid w:val="0"/>
          <w:sz w:val="20"/>
          <w:szCs w:val="20"/>
          <w:vertAlign w:val="superscript"/>
        </w:rPr>
        <w:t>1</w:t>
      </w:r>
      <w:r w:rsidRPr="00337F46">
        <w:rPr>
          <w:rFonts w:ascii="Times New Roman" w:eastAsia="Times New Roman" w:hAnsi="Times New Roman" w:cs="Times New Roman"/>
          <w:snapToGrid w:val="0"/>
          <w:sz w:val="20"/>
          <w:szCs w:val="20"/>
        </w:rPr>
        <w:t xml:space="preserve">, Tristan Asset </w:t>
      </w:r>
      <w:r w:rsidRPr="00337F46">
        <w:rPr>
          <w:rFonts w:ascii="Times New Roman" w:eastAsia="Times New Roman" w:hAnsi="Times New Roman" w:cs="Times New Roman"/>
          <w:snapToGrid w:val="0"/>
          <w:sz w:val="20"/>
          <w:szCs w:val="20"/>
          <w:vertAlign w:val="superscript"/>
        </w:rPr>
        <w:t>1</w:t>
      </w:r>
    </w:p>
    <w:p w:rsidR="00337F46" w:rsidRPr="00337F46" w:rsidRDefault="00337F46" w:rsidP="00337F46">
      <w:pPr>
        <w:widowControl w:val="0"/>
        <w:spacing w:after="0" w:line="240" w:lineRule="auto"/>
        <w:jc w:val="center"/>
        <w:rPr>
          <w:rFonts w:ascii="Times New Roman" w:eastAsia="Times New Roman" w:hAnsi="Times New Roman" w:cs="Times New Roman"/>
          <w:i/>
          <w:snapToGrid w:val="0"/>
          <w:sz w:val="20"/>
          <w:szCs w:val="20"/>
        </w:rPr>
      </w:pPr>
      <w:r w:rsidRPr="00337F46">
        <w:rPr>
          <w:rFonts w:ascii="Times New Roman" w:eastAsia="Times New Roman" w:hAnsi="Times New Roman" w:cs="Times New Roman"/>
          <w:i/>
          <w:snapToGrid w:val="0"/>
          <w:sz w:val="20"/>
          <w:szCs w:val="20"/>
          <w:vertAlign w:val="superscript"/>
        </w:rPr>
        <w:t xml:space="preserve">1 </w:t>
      </w:r>
      <w:r w:rsidRPr="00337F46">
        <w:rPr>
          <w:rFonts w:ascii="Times New Roman" w:eastAsia="Times New Roman" w:hAnsi="Times New Roman" w:cs="Times New Roman"/>
          <w:i/>
          <w:snapToGrid w:val="0"/>
          <w:sz w:val="20"/>
          <w:szCs w:val="20"/>
        </w:rPr>
        <w:t>Institut de Chimie et Procédés pour l’Energie, l’Environnement et la Santé, 67087 Strasbourg – France</w:t>
      </w:r>
    </w:p>
    <w:p w:rsidR="00337F46" w:rsidRPr="00337F46" w:rsidRDefault="00337F46" w:rsidP="00337F46">
      <w:pPr>
        <w:widowControl w:val="0"/>
        <w:spacing w:after="0" w:line="240" w:lineRule="auto"/>
        <w:jc w:val="center"/>
        <w:rPr>
          <w:rFonts w:ascii="Times New Roman" w:eastAsia="Times New Roman" w:hAnsi="Times New Roman" w:cs="Times New Roman"/>
          <w:i/>
          <w:snapToGrid w:val="0"/>
          <w:sz w:val="20"/>
          <w:szCs w:val="20"/>
        </w:rPr>
      </w:pPr>
      <w:r w:rsidRPr="00337F46">
        <w:rPr>
          <w:rFonts w:ascii="Times New Roman" w:eastAsia="Times New Roman" w:hAnsi="Times New Roman" w:cs="Times New Roman"/>
          <w:i/>
          <w:snapToGrid w:val="0"/>
          <w:sz w:val="20"/>
          <w:szCs w:val="20"/>
          <w:vertAlign w:val="superscript"/>
        </w:rPr>
        <w:t>2</w:t>
      </w:r>
      <w:r w:rsidRPr="00337F46">
        <w:rPr>
          <w:rFonts w:ascii="Times New Roman" w:eastAsia="Times New Roman" w:hAnsi="Times New Roman" w:cs="Times New Roman"/>
          <w:i/>
          <w:snapToGrid w:val="0"/>
          <w:sz w:val="20"/>
          <w:szCs w:val="20"/>
        </w:rPr>
        <w:t xml:space="preserve"> CBI, ESPCI Paris, Université PSL, CNRS, 75005 Paris – France </w:t>
      </w:r>
    </w:p>
    <w:p w:rsidR="00337F46" w:rsidRPr="00337F46" w:rsidRDefault="00337F46" w:rsidP="00337F46">
      <w:pPr>
        <w:widowControl w:val="0"/>
        <w:spacing w:after="0" w:line="240" w:lineRule="auto"/>
        <w:jc w:val="center"/>
        <w:rPr>
          <w:rFonts w:ascii="Times New Roman" w:eastAsia="Times New Roman" w:hAnsi="Times New Roman" w:cs="Times New Roman"/>
          <w:i/>
          <w:snapToGrid w:val="0"/>
          <w:sz w:val="20"/>
          <w:szCs w:val="20"/>
          <w:lang w:val="en-US"/>
        </w:rPr>
      </w:pPr>
      <w:r w:rsidRPr="00337F46">
        <w:rPr>
          <w:rFonts w:ascii="Times New Roman" w:eastAsia="Times New Roman" w:hAnsi="Times New Roman" w:cs="Times New Roman"/>
          <w:i/>
          <w:snapToGrid w:val="0"/>
          <w:sz w:val="20"/>
          <w:szCs w:val="20"/>
          <w:lang w:val="en-US"/>
        </w:rPr>
        <w:t>amandine.brige@etu.unistra.fr</w:t>
      </w:r>
    </w:p>
    <w:p w:rsidR="00337F46" w:rsidRPr="00337F46" w:rsidRDefault="00337F46" w:rsidP="00337F46">
      <w:pPr>
        <w:widowControl w:val="0"/>
        <w:spacing w:after="0" w:line="240" w:lineRule="auto"/>
        <w:jc w:val="center"/>
        <w:rPr>
          <w:rFonts w:ascii="Times New Roman" w:eastAsia="Times New Roman" w:hAnsi="Times New Roman" w:cs="Times New Roman"/>
          <w:snapToGrid w:val="0"/>
          <w:sz w:val="20"/>
          <w:szCs w:val="20"/>
          <w:lang w:val="en-US"/>
        </w:rPr>
      </w:pPr>
    </w:p>
    <w:p w:rsidR="00337F46" w:rsidRPr="00337F46" w:rsidRDefault="00337F46" w:rsidP="00337F46">
      <w:pPr>
        <w:widowControl w:val="0"/>
        <w:spacing w:after="0" w:line="240" w:lineRule="auto"/>
        <w:jc w:val="both"/>
        <w:rPr>
          <w:rFonts w:ascii="Times New Roman" w:eastAsia="Times New Roman" w:hAnsi="Times New Roman" w:cs="Times New Roman"/>
          <w:snapToGrid w:val="0"/>
          <w:sz w:val="20"/>
          <w:szCs w:val="20"/>
          <w:lang w:val="en-US"/>
        </w:rPr>
      </w:pPr>
    </w:p>
    <w:p w:rsidR="00337F46" w:rsidRPr="00337F46" w:rsidRDefault="00337F46" w:rsidP="00337F46">
      <w:pPr>
        <w:widowControl w:val="0"/>
        <w:spacing w:after="0" w:line="240" w:lineRule="auto"/>
        <w:jc w:val="both"/>
        <w:rPr>
          <w:rFonts w:ascii="Times New Roman" w:eastAsia="Times New Roman" w:hAnsi="Times New Roman" w:cs="Times New Roman"/>
          <w:snapToGrid w:val="0"/>
          <w:sz w:val="20"/>
          <w:szCs w:val="20"/>
          <w:lang w:val="en-US"/>
        </w:rPr>
      </w:pPr>
      <w:r w:rsidRPr="00337F46">
        <w:rPr>
          <w:rFonts w:ascii="Times New Roman" w:eastAsia="Times New Roman" w:hAnsi="Times New Roman" w:cs="Times New Roman"/>
          <w:snapToGrid w:val="0"/>
          <w:sz w:val="20"/>
          <w:szCs w:val="20"/>
          <w:lang w:val="en-US"/>
        </w:rPr>
        <w:t xml:space="preserve">During electrochemical reactions involving protons or hydroxide ions as reactants or products, the pH within the diffusion layer can deviate from the controlled bulk value, and the resulting availability of protons/hydroxide ions in the vicinity of the electrode directly influences reaction kinetics. The hydrogen evolution reaction (HER) and the hydrogen oxidation reaction (HOR) are prominent examples; however, despite extensive research dedicated to these processes, local pH variations are frequently overlooked. </w:t>
      </w:r>
    </w:p>
    <w:p w:rsidR="00337F46" w:rsidRPr="00337F46" w:rsidRDefault="00337F46" w:rsidP="00337F46">
      <w:pPr>
        <w:widowControl w:val="0"/>
        <w:spacing w:after="0" w:line="240" w:lineRule="auto"/>
        <w:jc w:val="both"/>
        <w:rPr>
          <w:rFonts w:ascii="Times New Roman" w:eastAsia="Times New Roman" w:hAnsi="Times New Roman" w:cs="Times New Roman"/>
          <w:snapToGrid w:val="0"/>
          <w:sz w:val="20"/>
          <w:szCs w:val="20"/>
          <w:lang w:val="en-US"/>
        </w:rPr>
      </w:pPr>
    </w:p>
    <w:p w:rsidR="00337F46" w:rsidRPr="00337F46" w:rsidRDefault="00337F46" w:rsidP="00337F46">
      <w:pPr>
        <w:widowControl w:val="0"/>
        <w:spacing w:after="0" w:line="240" w:lineRule="auto"/>
        <w:jc w:val="both"/>
        <w:rPr>
          <w:rFonts w:ascii="Times New Roman" w:eastAsia="Times New Roman" w:hAnsi="Times New Roman" w:cs="Times New Roman"/>
          <w:snapToGrid w:val="0"/>
          <w:sz w:val="20"/>
          <w:szCs w:val="20"/>
          <w:lang w:val="en-US"/>
        </w:rPr>
      </w:pPr>
      <w:r w:rsidRPr="00337F46">
        <w:rPr>
          <w:rFonts w:ascii="Times New Roman" w:eastAsia="Times New Roman" w:hAnsi="Times New Roman" w:cs="Times New Roman"/>
          <w:snapToGrid w:val="0"/>
          <w:sz w:val="20"/>
          <w:szCs w:val="20"/>
          <w:lang w:val="en-US"/>
        </w:rPr>
        <w:t xml:space="preserve">While kinetic limitations are the primary concern for noble-metal catalysts, non-noble metals such as nickel face an additional challenge: their stability and surface state can be impacted by local pH changes, potentially leading to their dissolution. A deeper understanding of local pH dynamics during proton-generating or consuming reactions could therefore allow to define ways to enhance both the stability and activity of catalysts. Furthermore, tools able to map the local pH are valuable as they provide a direct imaging of the properties of the electrolyte near the electrode.  </w:t>
      </w:r>
    </w:p>
    <w:p w:rsidR="00337F46" w:rsidRPr="00337F46" w:rsidRDefault="00337F46" w:rsidP="00337F46">
      <w:pPr>
        <w:widowControl w:val="0"/>
        <w:spacing w:after="0" w:line="240" w:lineRule="auto"/>
        <w:jc w:val="both"/>
        <w:rPr>
          <w:rFonts w:ascii="Times New Roman" w:eastAsia="Times New Roman" w:hAnsi="Times New Roman" w:cs="Times New Roman"/>
          <w:snapToGrid w:val="0"/>
          <w:sz w:val="20"/>
          <w:szCs w:val="20"/>
          <w:lang w:val="en-US"/>
        </w:rPr>
      </w:pPr>
    </w:p>
    <w:p w:rsidR="00337F46" w:rsidRPr="00337F46" w:rsidRDefault="006C5393" w:rsidP="00337F46">
      <w:pPr>
        <w:widowControl w:val="0"/>
        <w:spacing w:after="0" w:line="240" w:lineRule="auto"/>
        <w:jc w:val="both"/>
        <w:rPr>
          <w:rFonts w:ascii="Times New Roman" w:eastAsia="Times New Roman" w:hAnsi="Times New Roman" w:cs="Times New Roman"/>
          <w:snapToGrid w:val="0"/>
          <w:sz w:val="20"/>
          <w:szCs w:val="20"/>
          <w:lang w:val="en-US"/>
        </w:rPr>
      </w:pPr>
      <w:r>
        <w:rPr>
          <w:rFonts w:ascii="Times New Roman" w:eastAsia="Times New Roman" w:hAnsi="Times New Roman" w:cs="Times New Roman"/>
          <w:noProof/>
          <w:snapToGrid w:val="0"/>
          <w:sz w:val="20"/>
          <w:szCs w:val="20"/>
          <w:lang w:val="en-US"/>
        </w:rPr>
        <w:drawing>
          <wp:anchor distT="0" distB="0" distL="114300" distR="114300" simplePos="0" relativeHeight="251658240" behindDoc="0" locked="0" layoutInCell="1" allowOverlap="1" wp14:anchorId="1CDAA119">
            <wp:simplePos x="0" y="0"/>
            <wp:positionH relativeFrom="column">
              <wp:posOffset>-1962</wp:posOffset>
            </wp:positionH>
            <wp:positionV relativeFrom="paragraph">
              <wp:posOffset>-1602</wp:posOffset>
            </wp:positionV>
            <wp:extent cx="2331720" cy="3368040"/>
            <wp:effectExtent l="0" t="0" r="0" b="3810"/>
            <wp:wrapSquare wrapText="bothSides"/>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31720" cy="3368040"/>
                    </a:xfrm>
                    <a:prstGeom prst="rect">
                      <a:avLst/>
                    </a:prstGeom>
                    <a:noFill/>
                  </pic:spPr>
                </pic:pic>
              </a:graphicData>
            </a:graphic>
          </wp:anchor>
        </w:drawing>
      </w:r>
      <w:r w:rsidR="00337F46" w:rsidRPr="00337F46">
        <w:rPr>
          <w:rFonts w:ascii="Times New Roman" w:eastAsia="Times New Roman" w:hAnsi="Times New Roman" w:cs="Times New Roman"/>
          <w:snapToGrid w:val="0"/>
          <w:sz w:val="20"/>
          <w:szCs w:val="20"/>
          <w:lang w:val="en-US"/>
        </w:rPr>
        <w:t xml:space="preserve">In this work, we developed an operando </w:t>
      </w:r>
      <w:proofErr w:type="spellStart"/>
      <w:r w:rsidR="00337F46" w:rsidRPr="00337F46">
        <w:rPr>
          <w:rFonts w:ascii="Times New Roman" w:eastAsia="Times New Roman" w:hAnsi="Times New Roman" w:cs="Times New Roman"/>
          <w:snapToGrid w:val="0"/>
          <w:sz w:val="20"/>
          <w:szCs w:val="20"/>
          <w:lang w:val="en-US"/>
        </w:rPr>
        <w:t>spectro</w:t>
      </w:r>
      <w:proofErr w:type="spellEnd"/>
      <w:r w:rsidR="00337F46" w:rsidRPr="00337F46">
        <w:rPr>
          <w:rFonts w:ascii="Times New Roman" w:eastAsia="Times New Roman" w:hAnsi="Times New Roman" w:cs="Times New Roman"/>
          <w:snapToGrid w:val="0"/>
          <w:sz w:val="20"/>
          <w:szCs w:val="20"/>
          <w:lang w:val="en-US"/>
        </w:rPr>
        <w:t xml:space="preserve">-electrochemical platform capable of mapping the pH distribution close to the electrochemical interface. This platform combines confocal laser scanning microscopy (CLSM) with a fluorescent pH probe. The probe exhibits pH-dependent dual emission, enabling highly sensitive pH measurements with very good spatial (&lt; 1µm) and temporal (&lt; 1s) resolutions. We designed a specialized </w:t>
      </w:r>
      <w:proofErr w:type="spellStart"/>
      <w:r w:rsidR="00337F46" w:rsidRPr="00337F46">
        <w:rPr>
          <w:rFonts w:ascii="Times New Roman" w:eastAsia="Times New Roman" w:hAnsi="Times New Roman" w:cs="Times New Roman"/>
          <w:snapToGrid w:val="0"/>
          <w:sz w:val="20"/>
          <w:szCs w:val="20"/>
          <w:lang w:val="en-US"/>
        </w:rPr>
        <w:t>spectro</w:t>
      </w:r>
      <w:proofErr w:type="spellEnd"/>
      <w:r w:rsidR="00337F46" w:rsidRPr="00337F46">
        <w:rPr>
          <w:rFonts w:ascii="Times New Roman" w:eastAsia="Times New Roman" w:hAnsi="Times New Roman" w:cs="Times New Roman"/>
          <w:snapToGrid w:val="0"/>
          <w:sz w:val="20"/>
          <w:szCs w:val="20"/>
          <w:lang w:val="en-US"/>
        </w:rPr>
        <w:t>-electrochemical cell for CLSM that allows to probe the diffusion layer while performing electrochemical reactions in a controlled environment (Figure 1a).</w:t>
      </w:r>
    </w:p>
    <w:p w:rsidR="00337F46" w:rsidRPr="00337F46" w:rsidRDefault="00337F46" w:rsidP="00337F46">
      <w:pPr>
        <w:widowControl w:val="0"/>
        <w:spacing w:after="0" w:line="240" w:lineRule="auto"/>
        <w:jc w:val="both"/>
        <w:rPr>
          <w:rFonts w:ascii="Times New Roman" w:eastAsia="Times New Roman" w:hAnsi="Times New Roman" w:cs="Times New Roman"/>
          <w:snapToGrid w:val="0"/>
          <w:sz w:val="20"/>
          <w:szCs w:val="20"/>
          <w:lang w:val="en-US"/>
        </w:rPr>
      </w:pPr>
    </w:p>
    <w:p w:rsidR="00337F46" w:rsidRPr="00337F46" w:rsidRDefault="00337F46" w:rsidP="00337F46">
      <w:pPr>
        <w:widowControl w:val="0"/>
        <w:spacing w:after="0" w:line="240" w:lineRule="auto"/>
        <w:jc w:val="both"/>
        <w:rPr>
          <w:rFonts w:ascii="Times New Roman" w:eastAsia="Times New Roman" w:hAnsi="Times New Roman" w:cs="Times New Roman"/>
          <w:snapToGrid w:val="0"/>
          <w:sz w:val="20"/>
          <w:szCs w:val="20"/>
          <w:lang w:val="en-US"/>
        </w:rPr>
      </w:pPr>
      <w:r w:rsidRPr="00337F46">
        <w:rPr>
          <w:rFonts w:ascii="Times New Roman" w:eastAsia="Times New Roman" w:hAnsi="Times New Roman" w:cs="Times New Roman"/>
          <w:snapToGrid w:val="0"/>
          <w:sz w:val="20"/>
          <w:szCs w:val="20"/>
          <w:lang w:val="en-US"/>
        </w:rPr>
        <w:t xml:space="preserve">Using this setup, it is possible to assess pH changes in the vicinity of a nickel electrocatalyst under </w:t>
      </w:r>
      <w:proofErr w:type="spellStart"/>
      <w:r w:rsidRPr="00337F46">
        <w:rPr>
          <w:rFonts w:ascii="Times New Roman" w:eastAsia="Times New Roman" w:hAnsi="Times New Roman" w:cs="Times New Roman"/>
          <w:snapToGrid w:val="0"/>
          <w:sz w:val="20"/>
          <w:szCs w:val="20"/>
          <w:lang w:val="en-US"/>
        </w:rPr>
        <w:t>potentiostatic</w:t>
      </w:r>
      <w:proofErr w:type="spellEnd"/>
      <w:r w:rsidRPr="00337F46">
        <w:rPr>
          <w:rFonts w:ascii="Times New Roman" w:eastAsia="Times New Roman" w:hAnsi="Times New Roman" w:cs="Times New Roman"/>
          <w:snapToGrid w:val="0"/>
          <w:sz w:val="20"/>
          <w:szCs w:val="20"/>
          <w:lang w:val="en-US"/>
        </w:rPr>
        <w:t xml:space="preserve"> and </w:t>
      </w:r>
      <w:proofErr w:type="spellStart"/>
      <w:r w:rsidRPr="00337F46">
        <w:rPr>
          <w:rFonts w:ascii="Times New Roman" w:eastAsia="Times New Roman" w:hAnsi="Times New Roman" w:cs="Times New Roman"/>
          <w:snapToGrid w:val="0"/>
          <w:sz w:val="20"/>
          <w:szCs w:val="20"/>
          <w:lang w:val="en-US"/>
        </w:rPr>
        <w:t>potentiodynamic</w:t>
      </w:r>
      <w:proofErr w:type="spellEnd"/>
      <w:r w:rsidRPr="00337F46">
        <w:rPr>
          <w:rFonts w:ascii="Times New Roman" w:eastAsia="Times New Roman" w:hAnsi="Times New Roman" w:cs="Times New Roman"/>
          <w:snapToGrid w:val="0"/>
          <w:sz w:val="20"/>
          <w:szCs w:val="20"/>
          <w:lang w:val="en-US"/>
        </w:rPr>
        <w:t xml:space="preserve"> conditions, while tuning the catalyst’s activity through partial oxidation</w:t>
      </w:r>
      <w:r w:rsidRPr="00337F46">
        <w:rPr>
          <w:rFonts w:ascii="Times New Roman" w:eastAsia="Times New Roman" w:hAnsi="Times New Roman" w:cs="Times New Roman"/>
          <w:snapToGrid w:val="0"/>
          <w:sz w:val="20"/>
          <w:szCs w:val="20"/>
          <w:lang w:val="en-US"/>
        </w:rPr>
        <w:fldChar w:fldCharType="begin"/>
      </w:r>
      <w:r w:rsidRPr="00337F46">
        <w:rPr>
          <w:rFonts w:ascii="Times New Roman" w:eastAsia="Times New Roman" w:hAnsi="Times New Roman" w:cs="Times New Roman"/>
          <w:snapToGrid w:val="0"/>
          <w:sz w:val="20"/>
          <w:szCs w:val="20"/>
          <w:lang w:val="en-US"/>
        </w:rPr>
        <w:instrText xml:space="preserve"> ADDIN ZOTERO_ITEM CSL_CITATION {"citationID":"IdZs8L1N","properties":{"unsorted":false,"formattedCitation":"\\super 1,2\\nosupersub{}","plainCitation":"1,2","noteIndex":0},"citationItems":[{"id":36,"uris":["http://zotero.org/users/16224057/items/EBBU68VF"],"itemData":{"id":36,"type":"article-journal","abstract":"The influence of the extent of oxidation of Ni electrodes on the kinetics of the hydrogen oxidation (HOR) and evolution (HER) reactions has been explored by combining an experimental cyclic voltammetry and chronoamperometry study with microkinetic modeling. The HOR/HER specific activity of the Ni/NiOx electrodes follows a volcano-type dependence with a maximum at 30% NiOx coverage corresponding to a 14-fold increase (nominally from 2.2 to 32.8 μA cm−2Ni) of the specific activity calculated as the exchange current density normalized by the electrochemical surface area of Ni active sites. The kinetic model suggests that the experimentally observed changes in the shape of current-potential curves as well as the HOR/HER specific activities are mostly due to the NiOx coverage–dependent strength of adsorption of hydrogen atoms. The latter is accompanied by an increase of the rate of the Volmer step and a decrease of the potential of OHad adsorption on Ni centers in the vicinity of surface Ni oxides.","citation-key":"oshchepkovInfluenceExtentOxidation2020","container-title":"Electrocatalysis","DOI":"10.1007/s12678-019-00560-3","ISSN":"1868-2529, 1868-5994","issue":"2","journalAbbreviation":"Electrocatalysis","language":"en","note":"number: 2","page":"133-142","source":"DOI.org (Crossref)","title":"On the Influence of the Extent of Oxidation on the Kinetics of the Hydrogen Electrode Reactions on Polycrystalline Nickel","volume":"11","author":[{"family":"Oshchepkov","given":"Alexandr G."},{"family":"Bonnefont","given":"Antoine"},{"family":"Savinova","given":"Elena R."}],"issued":{"date-parts":[["2020",3]]}}},{"id":1010,"uris":["http://zotero.org/users/16224057/items/8TVDQ7GV"],"itemData":{"id":1010,"type":"article-journal","citation-key":"brigeValidatingNiOxHyHER2026","container-title":"Electrochimica Acta","DOI":"10.1016/j.electacta.2026.148296","ISSN":"00134686","journalAbbreviation":"Electrochimica Acta","language":"en","page":"148296","source":"DOI.org (Crossref)","title":"Validating NiOxHy as the HER promoter for Ni electrodes with in-situ Dip-and-Pull XPS","volume":"554","author":[{"family":"Brige","given":"Amandine"},{"family":"Oshchepkov","given":"Alexandr G."},{"family":"Bochs Cruz","given":"Ángel"},{"family":"Bournel","given":"Fabrice"},{"family":"Bonnefont","given":"Antoine"},{"family":"Yaroslavtsev","given":"Alexander"},{"family":"Temperton","given":"Robert"},{"family":"Shavorskiy","given":"Andrey"},{"family":"Gallet","given":"Jean-Jacques"},{"family":"Asset","given":"Tristan"},{"family":"Savinova","given":"Elena R."}],"issued":{"date-parts":[["2026",4]]}}}],"schema":"https://github.com/citation-style-language/schema/raw/master/csl-citation.json"} </w:instrText>
      </w:r>
      <w:r w:rsidRPr="00337F46">
        <w:rPr>
          <w:rFonts w:ascii="Times New Roman" w:eastAsia="Times New Roman" w:hAnsi="Times New Roman" w:cs="Times New Roman"/>
          <w:snapToGrid w:val="0"/>
          <w:sz w:val="20"/>
          <w:szCs w:val="20"/>
          <w:lang w:val="en-US"/>
        </w:rPr>
        <w:fldChar w:fldCharType="separate"/>
      </w:r>
      <w:r w:rsidRPr="00337F46">
        <w:rPr>
          <w:rFonts w:ascii="Times New Roman" w:eastAsia="Times New Roman" w:hAnsi="Times New Roman" w:cs="Times New Roman"/>
          <w:snapToGrid w:val="0"/>
          <w:sz w:val="20"/>
          <w:szCs w:val="24"/>
          <w:vertAlign w:val="superscript"/>
          <w:lang w:val="en-US"/>
        </w:rPr>
        <w:t>1,2</w:t>
      </w:r>
      <w:r w:rsidRPr="00337F46">
        <w:rPr>
          <w:rFonts w:ascii="Times New Roman" w:eastAsia="Times New Roman" w:hAnsi="Times New Roman" w:cs="Times New Roman"/>
          <w:snapToGrid w:val="0"/>
          <w:sz w:val="20"/>
          <w:szCs w:val="20"/>
          <w:lang w:val="en-US"/>
        </w:rPr>
        <w:fldChar w:fldCharType="end"/>
      </w:r>
      <w:r w:rsidRPr="00337F46">
        <w:rPr>
          <w:rFonts w:ascii="Times New Roman" w:eastAsia="Times New Roman" w:hAnsi="Times New Roman" w:cs="Times New Roman"/>
          <w:snapToGrid w:val="0"/>
          <w:sz w:val="20"/>
          <w:szCs w:val="20"/>
          <w:lang w:val="en-US"/>
        </w:rPr>
        <w:t xml:space="preserve">. In </w:t>
      </w:r>
      <w:proofErr w:type="spellStart"/>
      <w:r w:rsidRPr="00337F46">
        <w:rPr>
          <w:rFonts w:ascii="Times New Roman" w:eastAsia="Times New Roman" w:hAnsi="Times New Roman" w:cs="Times New Roman"/>
          <w:snapToGrid w:val="0"/>
          <w:sz w:val="20"/>
          <w:szCs w:val="20"/>
          <w:lang w:val="en-US"/>
        </w:rPr>
        <w:t>potentiostatic</w:t>
      </w:r>
      <w:proofErr w:type="spellEnd"/>
      <w:r w:rsidRPr="00337F46">
        <w:rPr>
          <w:rFonts w:ascii="Times New Roman" w:eastAsia="Times New Roman" w:hAnsi="Times New Roman" w:cs="Times New Roman"/>
          <w:snapToGrid w:val="0"/>
          <w:sz w:val="20"/>
          <w:szCs w:val="20"/>
          <w:lang w:val="en-US"/>
        </w:rPr>
        <w:t xml:space="preserve"> mode, the platform provided direct visualization of the diffusion layer thickness during the HER and the HOR (Figure 1b). In </w:t>
      </w:r>
      <w:proofErr w:type="spellStart"/>
      <w:r w:rsidRPr="00337F46">
        <w:rPr>
          <w:rFonts w:ascii="Times New Roman" w:eastAsia="Times New Roman" w:hAnsi="Times New Roman" w:cs="Times New Roman"/>
          <w:snapToGrid w:val="0"/>
          <w:sz w:val="20"/>
          <w:szCs w:val="20"/>
          <w:lang w:val="en-US"/>
        </w:rPr>
        <w:t>potentiodynamic</w:t>
      </w:r>
      <w:proofErr w:type="spellEnd"/>
      <w:r w:rsidRPr="00337F46">
        <w:rPr>
          <w:rFonts w:ascii="Times New Roman" w:eastAsia="Times New Roman" w:hAnsi="Times New Roman" w:cs="Times New Roman"/>
          <w:snapToGrid w:val="0"/>
          <w:sz w:val="20"/>
          <w:szCs w:val="20"/>
          <w:lang w:val="en-US"/>
        </w:rPr>
        <w:t xml:space="preserve"> mode, we captured the complex interplay between the generation and consumption of hydroxide ions and their transport to and from the interface, demonstrating the continuous evolution of the electrochemical interface operation. </w:t>
      </w:r>
    </w:p>
    <w:p w:rsidR="00337F46" w:rsidRPr="00337F46" w:rsidRDefault="00337F46" w:rsidP="00337F46">
      <w:pPr>
        <w:widowControl w:val="0"/>
        <w:spacing w:after="0" w:line="240" w:lineRule="auto"/>
        <w:jc w:val="both"/>
        <w:rPr>
          <w:rFonts w:ascii="Times New Roman" w:eastAsia="Times New Roman" w:hAnsi="Times New Roman" w:cs="Times New Roman"/>
          <w:snapToGrid w:val="0"/>
          <w:sz w:val="20"/>
          <w:szCs w:val="20"/>
          <w:lang w:val="en-US"/>
        </w:rPr>
      </w:pPr>
      <w:bookmarkStart w:id="0" w:name="_GoBack"/>
      <w:bookmarkEnd w:id="0"/>
    </w:p>
    <w:p w:rsidR="00337F46" w:rsidRPr="00337F46" w:rsidRDefault="00337F46" w:rsidP="00337F46">
      <w:pPr>
        <w:widowControl w:val="0"/>
        <w:spacing w:after="0" w:line="240" w:lineRule="auto"/>
        <w:jc w:val="both"/>
        <w:rPr>
          <w:rFonts w:ascii="Times New Roman" w:eastAsia="Times New Roman" w:hAnsi="Times New Roman" w:cs="Times New Roman"/>
          <w:b/>
          <w:snapToGrid w:val="0"/>
          <w:sz w:val="20"/>
          <w:szCs w:val="20"/>
          <w:lang w:val="en-US"/>
        </w:rPr>
      </w:pPr>
    </w:p>
    <w:p w:rsidR="00337F46" w:rsidRPr="00337F46" w:rsidRDefault="00337F46" w:rsidP="00337F46">
      <w:pPr>
        <w:widowControl w:val="0"/>
        <w:spacing w:after="0" w:line="240" w:lineRule="auto"/>
        <w:jc w:val="both"/>
        <w:rPr>
          <w:rFonts w:ascii="Times New Roman" w:eastAsia="Times New Roman" w:hAnsi="Times New Roman" w:cs="Times New Roman"/>
          <w:b/>
          <w:snapToGrid w:val="0"/>
          <w:sz w:val="20"/>
          <w:szCs w:val="20"/>
          <w:lang w:val="en-US"/>
        </w:rPr>
      </w:pPr>
      <w:r w:rsidRPr="00337F46">
        <w:rPr>
          <w:rFonts w:ascii="Times New Roman" w:eastAsia="Times New Roman" w:hAnsi="Times New Roman" w:cs="Times New Roman"/>
          <w:b/>
          <w:snapToGrid w:val="0"/>
          <w:sz w:val="20"/>
          <w:szCs w:val="20"/>
          <w:lang w:val="en-US"/>
        </w:rPr>
        <w:t>References:</w:t>
      </w:r>
    </w:p>
    <w:p w:rsidR="00337F46" w:rsidRPr="00337F46" w:rsidRDefault="00337F46" w:rsidP="00337F46">
      <w:pPr>
        <w:widowControl w:val="0"/>
        <w:tabs>
          <w:tab w:val="left" w:pos="384"/>
        </w:tabs>
        <w:spacing w:after="0" w:line="240" w:lineRule="auto"/>
        <w:ind w:left="384" w:hanging="384"/>
        <w:rPr>
          <w:rFonts w:ascii="Times New Roman" w:eastAsia="Times New Roman" w:hAnsi="Times New Roman" w:cs="Times New Roman"/>
          <w:snapToGrid w:val="0"/>
          <w:sz w:val="20"/>
          <w:szCs w:val="20"/>
          <w:lang w:val="en-US"/>
        </w:rPr>
      </w:pPr>
      <w:r w:rsidRPr="00337F46">
        <w:rPr>
          <w:rFonts w:ascii="Times New Roman" w:eastAsia="Times New Roman" w:hAnsi="Times New Roman" w:cs="Times New Roman"/>
          <w:snapToGrid w:val="0"/>
          <w:sz w:val="20"/>
          <w:szCs w:val="20"/>
          <w:lang w:val="en-US"/>
        </w:rPr>
        <w:fldChar w:fldCharType="begin"/>
      </w:r>
      <w:r w:rsidRPr="00337F46">
        <w:rPr>
          <w:rFonts w:ascii="Times New Roman" w:eastAsia="Times New Roman" w:hAnsi="Times New Roman" w:cs="Times New Roman"/>
          <w:snapToGrid w:val="0"/>
          <w:sz w:val="20"/>
          <w:szCs w:val="20"/>
          <w:lang w:val="en-US"/>
        </w:rPr>
        <w:instrText xml:space="preserve"> ADDIN ZOTERO_BIBL {"uncited":[],"omitted":[],"custom":[]} CSL_BIBLIOGRAPHY </w:instrText>
      </w:r>
      <w:r w:rsidRPr="00337F46">
        <w:rPr>
          <w:rFonts w:ascii="Times New Roman" w:eastAsia="Times New Roman" w:hAnsi="Times New Roman" w:cs="Times New Roman"/>
          <w:snapToGrid w:val="0"/>
          <w:sz w:val="20"/>
          <w:szCs w:val="20"/>
          <w:lang w:val="en-US"/>
        </w:rPr>
        <w:fldChar w:fldCharType="separate"/>
      </w:r>
      <w:r w:rsidRPr="00337F46">
        <w:rPr>
          <w:rFonts w:ascii="Times New Roman" w:eastAsia="Times New Roman" w:hAnsi="Times New Roman" w:cs="Times New Roman"/>
          <w:snapToGrid w:val="0"/>
          <w:sz w:val="20"/>
          <w:szCs w:val="20"/>
          <w:lang w:val="en-US"/>
        </w:rPr>
        <w:t>(1)</w:t>
      </w:r>
      <w:r w:rsidRPr="00337F46">
        <w:rPr>
          <w:rFonts w:ascii="Times New Roman" w:eastAsia="Times New Roman" w:hAnsi="Times New Roman" w:cs="Times New Roman"/>
          <w:snapToGrid w:val="0"/>
          <w:sz w:val="20"/>
          <w:szCs w:val="20"/>
          <w:lang w:val="en-US"/>
        </w:rPr>
        <w:tab/>
      </w:r>
      <w:proofErr w:type="spellStart"/>
      <w:r w:rsidRPr="00337F46">
        <w:rPr>
          <w:rFonts w:ascii="Times New Roman" w:eastAsia="Times New Roman" w:hAnsi="Times New Roman" w:cs="Times New Roman"/>
          <w:snapToGrid w:val="0"/>
          <w:sz w:val="20"/>
          <w:szCs w:val="20"/>
          <w:lang w:val="en-US"/>
        </w:rPr>
        <w:t>Oshchepkov</w:t>
      </w:r>
      <w:proofErr w:type="spellEnd"/>
      <w:r w:rsidRPr="00337F46">
        <w:rPr>
          <w:rFonts w:ascii="Times New Roman" w:eastAsia="Times New Roman" w:hAnsi="Times New Roman" w:cs="Times New Roman"/>
          <w:snapToGrid w:val="0"/>
          <w:sz w:val="20"/>
          <w:szCs w:val="20"/>
          <w:lang w:val="en-US"/>
        </w:rPr>
        <w:t xml:space="preserve">, A. G.; </w:t>
      </w:r>
      <w:proofErr w:type="spellStart"/>
      <w:r w:rsidRPr="00337F46">
        <w:rPr>
          <w:rFonts w:ascii="Times New Roman" w:eastAsia="Times New Roman" w:hAnsi="Times New Roman" w:cs="Times New Roman"/>
          <w:snapToGrid w:val="0"/>
          <w:sz w:val="20"/>
          <w:szCs w:val="20"/>
          <w:lang w:val="en-US"/>
        </w:rPr>
        <w:t>Bonnefont</w:t>
      </w:r>
      <w:proofErr w:type="spellEnd"/>
      <w:r w:rsidRPr="00337F46">
        <w:rPr>
          <w:rFonts w:ascii="Times New Roman" w:eastAsia="Times New Roman" w:hAnsi="Times New Roman" w:cs="Times New Roman"/>
          <w:snapToGrid w:val="0"/>
          <w:sz w:val="20"/>
          <w:szCs w:val="20"/>
          <w:lang w:val="en-US"/>
        </w:rPr>
        <w:t xml:space="preserve">, A.; </w:t>
      </w:r>
      <w:proofErr w:type="spellStart"/>
      <w:r w:rsidRPr="00337F46">
        <w:rPr>
          <w:rFonts w:ascii="Times New Roman" w:eastAsia="Times New Roman" w:hAnsi="Times New Roman" w:cs="Times New Roman"/>
          <w:snapToGrid w:val="0"/>
          <w:sz w:val="20"/>
          <w:szCs w:val="20"/>
          <w:lang w:val="en-US"/>
        </w:rPr>
        <w:t>Savinova</w:t>
      </w:r>
      <w:proofErr w:type="spellEnd"/>
      <w:r w:rsidRPr="00337F46">
        <w:rPr>
          <w:rFonts w:ascii="Times New Roman" w:eastAsia="Times New Roman" w:hAnsi="Times New Roman" w:cs="Times New Roman"/>
          <w:snapToGrid w:val="0"/>
          <w:sz w:val="20"/>
          <w:szCs w:val="20"/>
          <w:lang w:val="en-US"/>
        </w:rPr>
        <w:t xml:space="preserve">, E. R. On the Influence of the Extent of Oxidation on the Kinetics of the Hydrogen Electrode Reactions on Polycrystalline Nickel. </w:t>
      </w:r>
      <w:r w:rsidRPr="00337F46">
        <w:rPr>
          <w:rFonts w:ascii="Times New Roman" w:eastAsia="Times New Roman" w:hAnsi="Times New Roman" w:cs="Times New Roman"/>
          <w:i/>
          <w:iCs/>
          <w:snapToGrid w:val="0"/>
          <w:sz w:val="20"/>
          <w:szCs w:val="20"/>
          <w:lang w:val="en-US"/>
        </w:rPr>
        <w:t>Electrocatalysis</w:t>
      </w:r>
      <w:r w:rsidRPr="00337F46">
        <w:rPr>
          <w:rFonts w:ascii="Times New Roman" w:eastAsia="Times New Roman" w:hAnsi="Times New Roman" w:cs="Times New Roman"/>
          <w:snapToGrid w:val="0"/>
          <w:sz w:val="20"/>
          <w:szCs w:val="20"/>
          <w:lang w:val="en-US"/>
        </w:rPr>
        <w:t xml:space="preserve"> </w:t>
      </w:r>
      <w:r w:rsidRPr="00337F46">
        <w:rPr>
          <w:rFonts w:ascii="Times New Roman" w:eastAsia="Times New Roman" w:hAnsi="Times New Roman" w:cs="Times New Roman"/>
          <w:b/>
          <w:bCs/>
          <w:snapToGrid w:val="0"/>
          <w:sz w:val="20"/>
          <w:szCs w:val="20"/>
          <w:lang w:val="en-US"/>
        </w:rPr>
        <w:t>2020</w:t>
      </w:r>
      <w:r w:rsidRPr="00337F46">
        <w:rPr>
          <w:rFonts w:ascii="Times New Roman" w:eastAsia="Times New Roman" w:hAnsi="Times New Roman" w:cs="Times New Roman"/>
          <w:snapToGrid w:val="0"/>
          <w:sz w:val="20"/>
          <w:szCs w:val="20"/>
          <w:lang w:val="en-US"/>
        </w:rPr>
        <w:t xml:space="preserve">, </w:t>
      </w:r>
      <w:r w:rsidRPr="00337F46">
        <w:rPr>
          <w:rFonts w:ascii="Times New Roman" w:eastAsia="Times New Roman" w:hAnsi="Times New Roman" w:cs="Times New Roman"/>
          <w:i/>
          <w:iCs/>
          <w:snapToGrid w:val="0"/>
          <w:sz w:val="20"/>
          <w:szCs w:val="20"/>
          <w:lang w:val="en-US"/>
        </w:rPr>
        <w:t>11</w:t>
      </w:r>
      <w:r w:rsidRPr="00337F46">
        <w:rPr>
          <w:rFonts w:ascii="Times New Roman" w:eastAsia="Times New Roman" w:hAnsi="Times New Roman" w:cs="Times New Roman"/>
          <w:snapToGrid w:val="0"/>
          <w:sz w:val="20"/>
          <w:szCs w:val="20"/>
          <w:lang w:val="en-US"/>
        </w:rPr>
        <w:t xml:space="preserve"> (2), 133–142. https://doi.org/10.1007/s12678-019-00560-3.</w:t>
      </w:r>
    </w:p>
    <w:p w:rsidR="009375E2" w:rsidRPr="00337F46" w:rsidRDefault="00337F46" w:rsidP="00337F46">
      <w:pPr>
        <w:widowControl w:val="0"/>
        <w:tabs>
          <w:tab w:val="left" w:pos="384"/>
        </w:tabs>
        <w:spacing w:after="0" w:line="240" w:lineRule="auto"/>
        <w:ind w:left="384" w:hanging="384"/>
        <w:rPr>
          <w:rFonts w:ascii="Times New Roman" w:eastAsia="Times New Roman" w:hAnsi="Times New Roman" w:cs="Times New Roman"/>
          <w:snapToGrid w:val="0"/>
          <w:sz w:val="20"/>
          <w:szCs w:val="20"/>
          <w:lang w:val="en-US"/>
        </w:rPr>
      </w:pPr>
      <w:r w:rsidRPr="00337F46">
        <w:rPr>
          <w:rFonts w:ascii="Times New Roman" w:eastAsia="Times New Roman" w:hAnsi="Times New Roman" w:cs="Times New Roman"/>
          <w:snapToGrid w:val="0"/>
          <w:sz w:val="20"/>
          <w:szCs w:val="20"/>
          <w:lang w:val="en-US"/>
        </w:rPr>
        <w:t>(2)</w:t>
      </w:r>
      <w:r w:rsidRPr="00337F46">
        <w:rPr>
          <w:rFonts w:ascii="Times New Roman" w:eastAsia="Times New Roman" w:hAnsi="Times New Roman" w:cs="Times New Roman"/>
          <w:snapToGrid w:val="0"/>
          <w:sz w:val="20"/>
          <w:szCs w:val="20"/>
          <w:lang w:val="en-US"/>
        </w:rPr>
        <w:tab/>
        <w:t xml:space="preserve">Brige, A.; </w:t>
      </w:r>
      <w:proofErr w:type="spellStart"/>
      <w:r w:rsidRPr="00337F46">
        <w:rPr>
          <w:rFonts w:ascii="Times New Roman" w:eastAsia="Times New Roman" w:hAnsi="Times New Roman" w:cs="Times New Roman"/>
          <w:snapToGrid w:val="0"/>
          <w:sz w:val="20"/>
          <w:szCs w:val="20"/>
          <w:lang w:val="en-US"/>
        </w:rPr>
        <w:t>Oshchepkov</w:t>
      </w:r>
      <w:proofErr w:type="spellEnd"/>
      <w:r w:rsidRPr="00337F46">
        <w:rPr>
          <w:rFonts w:ascii="Times New Roman" w:eastAsia="Times New Roman" w:hAnsi="Times New Roman" w:cs="Times New Roman"/>
          <w:snapToGrid w:val="0"/>
          <w:sz w:val="20"/>
          <w:szCs w:val="20"/>
          <w:lang w:val="en-US"/>
        </w:rPr>
        <w:t xml:space="preserve">, A. G.; </w:t>
      </w:r>
      <w:proofErr w:type="spellStart"/>
      <w:r w:rsidRPr="00337F46">
        <w:rPr>
          <w:rFonts w:ascii="Times New Roman" w:eastAsia="Times New Roman" w:hAnsi="Times New Roman" w:cs="Times New Roman"/>
          <w:snapToGrid w:val="0"/>
          <w:sz w:val="20"/>
          <w:szCs w:val="20"/>
          <w:lang w:val="en-US"/>
        </w:rPr>
        <w:t>Bochs</w:t>
      </w:r>
      <w:proofErr w:type="spellEnd"/>
      <w:r w:rsidRPr="00337F46">
        <w:rPr>
          <w:rFonts w:ascii="Times New Roman" w:eastAsia="Times New Roman" w:hAnsi="Times New Roman" w:cs="Times New Roman"/>
          <w:snapToGrid w:val="0"/>
          <w:sz w:val="20"/>
          <w:szCs w:val="20"/>
          <w:lang w:val="en-US"/>
        </w:rPr>
        <w:t xml:space="preserve"> Cruz, Á.; </w:t>
      </w:r>
      <w:proofErr w:type="spellStart"/>
      <w:r w:rsidRPr="00337F46">
        <w:rPr>
          <w:rFonts w:ascii="Times New Roman" w:eastAsia="Times New Roman" w:hAnsi="Times New Roman" w:cs="Times New Roman"/>
          <w:snapToGrid w:val="0"/>
          <w:sz w:val="20"/>
          <w:szCs w:val="20"/>
          <w:lang w:val="en-US"/>
        </w:rPr>
        <w:t>Bournel</w:t>
      </w:r>
      <w:proofErr w:type="spellEnd"/>
      <w:r w:rsidRPr="00337F46">
        <w:rPr>
          <w:rFonts w:ascii="Times New Roman" w:eastAsia="Times New Roman" w:hAnsi="Times New Roman" w:cs="Times New Roman"/>
          <w:snapToGrid w:val="0"/>
          <w:sz w:val="20"/>
          <w:szCs w:val="20"/>
          <w:lang w:val="en-US"/>
        </w:rPr>
        <w:t xml:space="preserve">, F.; </w:t>
      </w:r>
      <w:proofErr w:type="spellStart"/>
      <w:r w:rsidRPr="00337F46">
        <w:rPr>
          <w:rFonts w:ascii="Times New Roman" w:eastAsia="Times New Roman" w:hAnsi="Times New Roman" w:cs="Times New Roman"/>
          <w:snapToGrid w:val="0"/>
          <w:sz w:val="20"/>
          <w:szCs w:val="20"/>
          <w:lang w:val="en-US"/>
        </w:rPr>
        <w:t>Bonnefont</w:t>
      </w:r>
      <w:proofErr w:type="spellEnd"/>
      <w:r w:rsidRPr="00337F46">
        <w:rPr>
          <w:rFonts w:ascii="Times New Roman" w:eastAsia="Times New Roman" w:hAnsi="Times New Roman" w:cs="Times New Roman"/>
          <w:snapToGrid w:val="0"/>
          <w:sz w:val="20"/>
          <w:szCs w:val="20"/>
          <w:lang w:val="en-US"/>
        </w:rPr>
        <w:t xml:space="preserve">, A.; </w:t>
      </w:r>
      <w:proofErr w:type="spellStart"/>
      <w:r w:rsidRPr="00337F46">
        <w:rPr>
          <w:rFonts w:ascii="Times New Roman" w:eastAsia="Times New Roman" w:hAnsi="Times New Roman" w:cs="Times New Roman"/>
          <w:snapToGrid w:val="0"/>
          <w:sz w:val="20"/>
          <w:szCs w:val="20"/>
          <w:lang w:val="en-US"/>
        </w:rPr>
        <w:t>Yaroslavtsev</w:t>
      </w:r>
      <w:proofErr w:type="spellEnd"/>
      <w:r w:rsidRPr="00337F46">
        <w:rPr>
          <w:rFonts w:ascii="Times New Roman" w:eastAsia="Times New Roman" w:hAnsi="Times New Roman" w:cs="Times New Roman"/>
          <w:snapToGrid w:val="0"/>
          <w:sz w:val="20"/>
          <w:szCs w:val="20"/>
          <w:lang w:val="en-US"/>
        </w:rPr>
        <w:t xml:space="preserve">, A.; </w:t>
      </w:r>
      <w:proofErr w:type="spellStart"/>
      <w:r w:rsidRPr="00337F46">
        <w:rPr>
          <w:rFonts w:ascii="Times New Roman" w:eastAsia="Times New Roman" w:hAnsi="Times New Roman" w:cs="Times New Roman"/>
          <w:snapToGrid w:val="0"/>
          <w:sz w:val="20"/>
          <w:szCs w:val="20"/>
          <w:lang w:val="en-US"/>
        </w:rPr>
        <w:t>Temperton</w:t>
      </w:r>
      <w:proofErr w:type="spellEnd"/>
      <w:r w:rsidRPr="00337F46">
        <w:rPr>
          <w:rFonts w:ascii="Times New Roman" w:eastAsia="Times New Roman" w:hAnsi="Times New Roman" w:cs="Times New Roman"/>
          <w:snapToGrid w:val="0"/>
          <w:sz w:val="20"/>
          <w:szCs w:val="20"/>
          <w:lang w:val="en-US"/>
        </w:rPr>
        <w:t xml:space="preserve">, R.; </w:t>
      </w:r>
      <w:proofErr w:type="spellStart"/>
      <w:r w:rsidRPr="00337F46">
        <w:rPr>
          <w:rFonts w:ascii="Times New Roman" w:eastAsia="Times New Roman" w:hAnsi="Times New Roman" w:cs="Times New Roman"/>
          <w:snapToGrid w:val="0"/>
          <w:sz w:val="20"/>
          <w:szCs w:val="20"/>
          <w:lang w:val="en-US"/>
        </w:rPr>
        <w:t>Shavorskiy</w:t>
      </w:r>
      <w:proofErr w:type="spellEnd"/>
      <w:r w:rsidRPr="00337F46">
        <w:rPr>
          <w:rFonts w:ascii="Times New Roman" w:eastAsia="Times New Roman" w:hAnsi="Times New Roman" w:cs="Times New Roman"/>
          <w:snapToGrid w:val="0"/>
          <w:sz w:val="20"/>
          <w:szCs w:val="20"/>
          <w:lang w:val="en-US"/>
        </w:rPr>
        <w:t xml:space="preserve">, A.; </w:t>
      </w:r>
      <w:proofErr w:type="spellStart"/>
      <w:r w:rsidRPr="00337F46">
        <w:rPr>
          <w:rFonts w:ascii="Times New Roman" w:eastAsia="Times New Roman" w:hAnsi="Times New Roman" w:cs="Times New Roman"/>
          <w:snapToGrid w:val="0"/>
          <w:sz w:val="20"/>
          <w:szCs w:val="20"/>
          <w:lang w:val="en-US"/>
        </w:rPr>
        <w:t>Gallet</w:t>
      </w:r>
      <w:proofErr w:type="spellEnd"/>
      <w:r w:rsidRPr="00337F46">
        <w:rPr>
          <w:rFonts w:ascii="Times New Roman" w:eastAsia="Times New Roman" w:hAnsi="Times New Roman" w:cs="Times New Roman"/>
          <w:snapToGrid w:val="0"/>
          <w:sz w:val="20"/>
          <w:szCs w:val="20"/>
          <w:lang w:val="en-US"/>
        </w:rPr>
        <w:t xml:space="preserve">, J.-J.; Asset, T.; </w:t>
      </w:r>
      <w:proofErr w:type="spellStart"/>
      <w:r w:rsidRPr="00337F46">
        <w:rPr>
          <w:rFonts w:ascii="Times New Roman" w:eastAsia="Times New Roman" w:hAnsi="Times New Roman" w:cs="Times New Roman"/>
          <w:snapToGrid w:val="0"/>
          <w:sz w:val="20"/>
          <w:szCs w:val="20"/>
          <w:lang w:val="en-US"/>
        </w:rPr>
        <w:t>Savinova</w:t>
      </w:r>
      <w:proofErr w:type="spellEnd"/>
      <w:r w:rsidRPr="00337F46">
        <w:rPr>
          <w:rFonts w:ascii="Times New Roman" w:eastAsia="Times New Roman" w:hAnsi="Times New Roman" w:cs="Times New Roman"/>
          <w:snapToGrid w:val="0"/>
          <w:sz w:val="20"/>
          <w:szCs w:val="20"/>
          <w:lang w:val="en-US"/>
        </w:rPr>
        <w:t xml:space="preserve">, E. R. Validating </w:t>
      </w:r>
      <w:proofErr w:type="spellStart"/>
      <w:r w:rsidRPr="00337F46">
        <w:rPr>
          <w:rFonts w:ascii="Times New Roman" w:eastAsia="Times New Roman" w:hAnsi="Times New Roman" w:cs="Times New Roman"/>
          <w:snapToGrid w:val="0"/>
          <w:sz w:val="20"/>
          <w:szCs w:val="20"/>
          <w:lang w:val="en-US"/>
        </w:rPr>
        <w:t>NiOxHy</w:t>
      </w:r>
      <w:proofErr w:type="spellEnd"/>
      <w:r w:rsidRPr="00337F46">
        <w:rPr>
          <w:rFonts w:ascii="Times New Roman" w:eastAsia="Times New Roman" w:hAnsi="Times New Roman" w:cs="Times New Roman"/>
          <w:snapToGrid w:val="0"/>
          <w:sz w:val="20"/>
          <w:szCs w:val="20"/>
          <w:lang w:val="en-US"/>
        </w:rPr>
        <w:t xml:space="preserve"> as the HER Promoter for Ni Electrodes with In-Situ Dip-and-Pull XPS. </w:t>
      </w:r>
      <w:proofErr w:type="spellStart"/>
      <w:r w:rsidRPr="00337F46">
        <w:rPr>
          <w:rFonts w:ascii="Times New Roman" w:eastAsia="Times New Roman" w:hAnsi="Times New Roman" w:cs="Times New Roman"/>
          <w:i/>
          <w:iCs/>
          <w:snapToGrid w:val="0"/>
          <w:sz w:val="20"/>
          <w:szCs w:val="20"/>
          <w:lang w:val="en-US"/>
        </w:rPr>
        <w:t>Electrochimica</w:t>
      </w:r>
      <w:proofErr w:type="spellEnd"/>
      <w:r w:rsidRPr="00337F46">
        <w:rPr>
          <w:rFonts w:ascii="Times New Roman" w:eastAsia="Times New Roman" w:hAnsi="Times New Roman" w:cs="Times New Roman"/>
          <w:i/>
          <w:iCs/>
          <w:snapToGrid w:val="0"/>
          <w:sz w:val="20"/>
          <w:szCs w:val="20"/>
          <w:lang w:val="en-US"/>
        </w:rPr>
        <w:t xml:space="preserve"> Acta</w:t>
      </w:r>
      <w:r w:rsidRPr="00337F46">
        <w:rPr>
          <w:rFonts w:ascii="Times New Roman" w:eastAsia="Times New Roman" w:hAnsi="Times New Roman" w:cs="Times New Roman"/>
          <w:snapToGrid w:val="0"/>
          <w:sz w:val="20"/>
          <w:szCs w:val="20"/>
          <w:lang w:val="en-US"/>
        </w:rPr>
        <w:t xml:space="preserve"> </w:t>
      </w:r>
      <w:r w:rsidRPr="00337F46">
        <w:rPr>
          <w:rFonts w:ascii="Times New Roman" w:eastAsia="Times New Roman" w:hAnsi="Times New Roman" w:cs="Times New Roman"/>
          <w:b/>
          <w:bCs/>
          <w:snapToGrid w:val="0"/>
          <w:sz w:val="20"/>
          <w:szCs w:val="20"/>
          <w:lang w:val="en-US"/>
        </w:rPr>
        <w:t>2026</w:t>
      </w:r>
      <w:r w:rsidRPr="00337F46">
        <w:rPr>
          <w:rFonts w:ascii="Times New Roman" w:eastAsia="Times New Roman" w:hAnsi="Times New Roman" w:cs="Times New Roman"/>
          <w:snapToGrid w:val="0"/>
          <w:sz w:val="20"/>
          <w:szCs w:val="20"/>
          <w:lang w:val="en-US"/>
        </w:rPr>
        <w:t xml:space="preserve">, </w:t>
      </w:r>
      <w:r w:rsidRPr="00337F46">
        <w:rPr>
          <w:rFonts w:ascii="Times New Roman" w:eastAsia="Times New Roman" w:hAnsi="Times New Roman" w:cs="Times New Roman"/>
          <w:i/>
          <w:iCs/>
          <w:snapToGrid w:val="0"/>
          <w:sz w:val="20"/>
          <w:szCs w:val="20"/>
          <w:lang w:val="en-US"/>
        </w:rPr>
        <w:t>554</w:t>
      </w:r>
      <w:r w:rsidRPr="00337F46">
        <w:rPr>
          <w:rFonts w:ascii="Times New Roman" w:eastAsia="Times New Roman" w:hAnsi="Times New Roman" w:cs="Times New Roman"/>
          <w:snapToGrid w:val="0"/>
          <w:sz w:val="20"/>
          <w:szCs w:val="20"/>
          <w:lang w:val="en-US"/>
        </w:rPr>
        <w:t>, 148296. https://doi.org/10.1016/j.electacta.2026.148296.</w:t>
      </w:r>
      <w:r w:rsidRPr="00337F46">
        <w:rPr>
          <w:rFonts w:ascii="Times New Roman" w:eastAsia="Times New Roman" w:hAnsi="Times New Roman" w:cs="Times New Roman"/>
          <w:snapToGrid w:val="0"/>
          <w:sz w:val="20"/>
          <w:szCs w:val="20"/>
          <w:lang w:val="en-US"/>
        </w:rPr>
        <w:fldChar w:fldCharType="end"/>
      </w:r>
    </w:p>
    <w:sectPr w:rsidR="009375E2" w:rsidRPr="00337F46"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F46"/>
    <w:rsid w:val="00337F46"/>
    <w:rsid w:val="0054698B"/>
    <w:rsid w:val="006C5393"/>
    <w:rsid w:val="008F6CD8"/>
    <w:rsid w:val="009375E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76A24"/>
  <w15:chartTrackingRefBased/>
  <w15:docId w15:val="{8388D1C5-E118-4EA2-91D0-4881D3B79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gende1">
    <w:name w:val="Légende1"/>
    <w:basedOn w:val="Normal"/>
    <w:next w:val="Normal"/>
    <w:uiPriority w:val="35"/>
    <w:unhideWhenUsed/>
    <w:qFormat/>
    <w:rsid w:val="00337F46"/>
    <w:pPr>
      <w:widowControl w:val="0"/>
      <w:spacing w:after="200" w:line="240" w:lineRule="auto"/>
    </w:pPr>
    <w:rPr>
      <w:rFonts w:ascii="Times New Roman" w:eastAsia="Times New Roman" w:hAnsi="Times New Roman" w:cs="Times New Roman"/>
      <w:i/>
      <w:iCs/>
      <w:snapToGrid w:val="0"/>
      <w:color w:val="1F497D"/>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989</Words>
  <Characters>5440</Characters>
  <Application>Microsoft Office Word</Application>
  <DocSecurity>0</DocSecurity>
  <Lines>45</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Amandine Brige</dc:creator>
  <cp:keywords/>
  <dc:description/>
  <cp:lastModifiedBy>Amandine Brige</cp:lastModifiedBy>
  <cp:revision>3</cp:revision>
  <dcterms:created xsi:type="dcterms:W3CDTF">2026-06-11T08:34:00Z</dcterms:created>
  <dcterms:modified xsi:type="dcterms:W3CDTF">2026-06-11T08:38:00Z</dcterms:modified>
</cp:coreProperties>
</file>