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8687F" w14:textId="33F7A4BF" w:rsidR="00E727ED" w:rsidRPr="00E727ED" w:rsidRDefault="00E727ED" w:rsidP="00E727ED">
      <w:pPr>
        <w:jc w:val="center"/>
        <w:rPr>
          <w:b/>
          <w:sz w:val="28"/>
        </w:rPr>
      </w:pPr>
      <w:r w:rsidRPr="00E727ED">
        <w:rPr>
          <w:b/>
          <w:sz w:val="28"/>
        </w:rPr>
        <w:t>Overlapping Vibrational Mode</w:t>
      </w:r>
      <w:r w:rsidR="00A22279">
        <w:rPr>
          <w:b/>
          <w:sz w:val="28"/>
        </w:rPr>
        <w:t xml:space="preserve"> Deconvolution</w:t>
      </w:r>
      <w:r w:rsidRPr="00E727ED">
        <w:rPr>
          <w:b/>
          <w:sz w:val="28"/>
        </w:rPr>
        <w:t xml:space="preserve"> in Layered Cathodes:</w:t>
      </w:r>
    </w:p>
    <w:p w14:paraId="19DE6426" w14:textId="37F31722" w:rsidR="00325004" w:rsidRDefault="00E727ED" w:rsidP="00E727ED">
      <w:pPr>
        <w:jc w:val="center"/>
        <w:rPr>
          <w:b/>
          <w:sz w:val="28"/>
        </w:rPr>
      </w:pPr>
      <w:r w:rsidRPr="00E727ED">
        <w:rPr>
          <w:b/>
          <w:sz w:val="28"/>
        </w:rPr>
        <w:t xml:space="preserve">A Systematic </w:t>
      </w:r>
      <w:proofErr w:type="gramStart"/>
      <w:r w:rsidRPr="00E727ED">
        <w:rPr>
          <w:b/>
          <w:sz w:val="28"/>
        </w:rPr>
        <w:t>In</w:t>
      </w:r>
      <w:proofErr w:type="gramEnd"/>
      <w:r w:rsidRPr="00E727ED">
        <w:rPr>
          <w:b/>
          <w:sz w:val="28"/>
        </w:rPr>
        <w:t xml:space="preserve"> Situ and Ex Situ Raman Study o</w:t>
      </w:r>
      <w:r w:rsidR="00210D25">
        <w:rPr>
          <w:b/>
          <w:sz w:val="28"/>
        </w:rPr>
        <w:t>n</w:t>
      </w:r>
      <w:r w:rsidRPr="00E727ED">
        <w:rPr>
          <w:b/>
          <w:sz w:val="28"/>
        </w:rPr>
        <w:t xml:space="preserve"> Li-ion Cells Based </w:t>
      </w:r>
      <w:proofErr w:type="gramStart"/>
      <w:r w:rsidRPr="00E727ED">
        <w:rPr>
          <w:b/>
          <w:sz w:val="28"/>
        </w:rPr>
        <w:t>On</w:t>
      </w:r>
      <w:proofErr w:type="gramEnd"/>
      <w:r w:rsidRPr="00E727ED">
        <w:rPr>
          <w:b/>
          <w:sz w:val="28"/>
        </w:rPr>
        <w:t xml:space="preserve"> Diverse NMC Chemistries</w:t>
      </w:r>
    </w:p>
    <w:p w14:paraId="2A82EB49" w14:textId="77777777" w:rsidR="00E727ED" w:rsidRPr="00A86EB9" w:rsidRDefault="00E727ED" w:rsidP="00E727ED">
      <w:pPr>
        <w:jc w:val="center"/>
        <w:rPr>
          <w:b/>
          <w:sz w:val="28"/>
        </w:rPr>
      </w:pPr>
    </w:p>
    <w:p w14:paraId="301FDE4D" w14:textId="77777777" w:rsidR="00F3781A" w:rsidRPr="00F3781A" w:rsidRDefault="00F3781A" w:rsidP="00F3781A">
      <w:pPr>
        <w:ind w:left="-360" w:right="-288"/>
        <w:jc w:val="center"/>
        <w:rPr>
          <w:lang w:val="pl-PL"/>
        </w:rPr>
      </w:pPr>
      <w:r w:rsidRPr="00F3781A">
        <w:rPr>
          <w:u w:val="single"/>
          <w:lang w:val="pl-PL"/>
        </w:rPr>
        <w:t>Dominika Buchberger</w:t>
      </w:r>
      <w:r w:rsidRPr="00F3781A">
        <w:rPr>
          <w:lang w:val="pl-PL"/>
        </w:rPr>
        <w:t>,</w:t>
      </w:r>
      <w:r w:rsidRPr="00F3781A">
        <w:rPr>
          <w:vertAlign w:val="superscript"/>
          <w:lang w:val="pl-PL"/>
        </w:rPr>
        <w:t>1</w:t>
      </w:r>
      <w:r w:rsidRPr="00F3781A">
        <w:rPr>
          <w:lang w:val="pl-PL"/>
        </w:rPr>
        <w:t xml:space="preserve"> Alicja Głaszczka-Ciftci,</w:t>
      </w:r>
      <w:r w:rsidRPr="00F3781A">
        <w:rPr>
          <w:vertAlign w:val="superscript"/>
          <w:lang w:val="pl-PL"/>
        </w:rPr>
        <w:t>1</w:t>
      </w:r>
      <w:r w:rsidRPr="00F3781A">
        <w:rPr>
          <w:lang w:val="pl-PL"/>
        </w:rPr>
        <w:t xml:space="preserve"> Paweł Stępnicki,</w:t>
      </w:r>
      <w:r w:rsidRPr="00F3781A">
        <w:rPr>
          <w:vertAlign w:val="superscript"/>
          <w:lang w:val="pl-PL"/>
        </w:rPr>
        <w:t>1</w:t>
      </w:r>
      <w:r w:rsidRPr="00F3781A">
        <w:rPr>
          <w:lang w:val="pl-PL"/>
        </w:rPr>
        <w:t xml:space="preserve"> </w:t>
      </w:r>
      <w:proofErr w:type="spellStart"/>
      <w:r w:rsidRPr="00F3781A">
        <w:rPr>
          <w:lang w:val="pl-PL"/>
        </w:rPr>
        <w:t>Sai</w:t>
      </w:r>
      <w:proofErr w:type="spellEnd"/>
      <w:r w:rsidRPr="00F3781A">
        <w:rPr>
          <w:lang w:val="pl-PL"/>
        </w:rPr>
        <w:t xml:space="preserve"> </w:t>
      </w:r>
      <w:proofErr w:type="spellStart"/>
      <w:r w:rsidRPr="00F3781A">
        <w:rPr>
          <w:lang w:val="pl-PL"/>
        </w:rPr>
        <w:t>Rashmi</w:t>
      </w:r>
      <w:proofErr w:type="spellEnd"/>
      <w:r w:rsidRPr="00F3781A">
        <w:rPr>
          <w:lang w:val="pl-PL"/>
        </w:rPr>
        <w:t xml:space="preserve"> Manippady,</w:t>
      </w:r>
      <w:r w:rsidRPr="00F3781A">
        <w:rPr>
          <w:vertAlign w:val="superscript"/>
          <w:lang w:val="pl-PL"/>
        </w:rPr>
        <w:t>1</w:t>
      </w:r>
      <w:r w:rsidRPr="00F3781A">
        <w:rPr>
          <w:lang w:val="pl-PL"/>
        </w:rPr>
        <w:br/>
        <w:t>Magdalena Winkowska-Struzik,</w:t>
      </w:r>
      <w:r w:rsidRPr="00F3781A">
        <w:rPr>
          <w:vertAlign w:val="superscript"/>
          <w:lang w:val="pl-PL"/>
        </w:rPr>
        <w:t>1</w:t>
      </w:r>
      <w:r w:rsidRPr="00F3781A">
        <w:rPr>
          <w:lang w:val="pl-PL"/>
        </w:rPr>
        <w:t xml:space="preserve"> Andrzej Czerwiński </w:t>
      </w:r>
      <w:r w:rsidRPr="00F3781A">
        <w:rPr>
          <w:vertAlign w:val="superscript"/>
          <w:lang w:val="pl-PL"/>
        </w:rPr>
        <w:t>1</w:t>
      </w:r>
    </w:p>
    <w:p w14:paraId="519FEBBA" w14:textId="77777777" w:rsidR="00F3781A" w:rsidRPr="00CE4343" w:rsidRDefault="00F3781A" w:rsidP="00F3781A">
      <w:pPr>
        <w:ind w:left="-360" w:right="-288"/>
        <w:jc w:val="center"/>
        <w:rPr>
          <w:i/>
          <w:iCs/>
        </w:rPr>
      </w:pPr>
      <w:r w:rsidRPr="00CE4343">
        <w:rPr>
          <w:i/>
          <w:iCs/>
          <w:vertAlign w:val="superscript"/>
        </w:rPr>
        <w:t>1</w:t>
      </w:r>
      <w:r w:rsidRPr="00CE4343">
        <w:rPr>
          <w:i/>
          <w:iCs/>
        </w:rPr>
        <w:t xml:space="preserve"> University of Warsaw, Faculty of Chemistry, Ludwika Pasteura 1, 02-093 Warsaw, Poland</w:t>
      </w:r>
    </w:p>
    <w:p w14:paraId="7F230F27" w14:textId="77777777" w:rsidR="00F3781A" w:rsidRPr="000C35E4" w:rsidRDefault="00F3781A" w:rsidP="00F3781A">
      <w:pPr>
        <w:ind w:left="-360" w:right="-288"/>
        <w:jc w:val="center"/>
        <w:rPr>
          <w:i/>
          <w:iCs/>
        </w:rPr>
      </w:pPr>
      <w:r w:rsidRPr="000C35E4">
        <w:rPr>
          <w:i/>
          <w:iCs/>
        </w:rPr>
        <w:t>d.buchberger@uw.edu.pl</w:t>
      </w:r>
    </w:p>
    <w:p w14:paraId="19DE642B" w14:textId="77777777" w:rsidR="00325004" w:rsidRDefault="00325004" w:rsidP="00E0716D">
      <w:pPr>
        <w:jc w:val="center"/>
      </w:pPr>
    </w:p>
    <w:p w14:paraId="54B727A3" w14:textId="77777777" w:rsidR="000B0EA7" w:rsidRDefault="000B0EA7" w:rsidP="000B0EA7">
      <w:pPr>
        <w:ind w:left="-360" w:right="-288"/>
        <w:jc w:val="both"/>
      </w:pPr>
      <w:r w:rsidRPr="00CE4343">
        <w:t>Lithium-ion batteries based on lithium nickel-manganese-cobalt layered oxides (LiNi</w:t>
      </w:r>
      <w:r w:rsidRPr="00CE4343">
        <w:rPr>
          <w:vertAlign w:val="subscript"/>
        </w:rPr>
        <w:t>1-x-y</w:t>
      </w:r>
      <w:r w:rsidRPr="00CE4343">
        <w:t>Mn</w:t>
      </w:r>
      <w:r w:rsidRPr="00CE4343">
        <w:rPr>
          <w:vertAlign w:val="subscript"/>
        </w:rPr>
        <w:t>x</w:t>
      </w:r>
      <w:r w:rsidRPr="00CE4343">
        <w:t>Co</w:t>
      </w:r>
      <w:r w:rsidRPr="00CE4343">
        <w:rPr>
          <w:vertAlign w:val="subscript"/>
        </w:rPr>
        <w:t>y</w:t>
      </w:r>
      <w:r w:rsidRPr="00CE4343">
        <w:t>O</w:t>
      </w:r>
      <w:r w:rsidRPr="00CE4343">
        <w:rPr>
          <w:vertAlign w:val="subscript"/>
        </w:rPr>
        <w:t>2</w:t>
      </w:r>
      <w:r w:rsidRPr="00CE4343">
        <w:t xml:space="preserve">, or NMC) are crucial for various energy applications, but their durability is limited by structural degradation during prolonged cycling. Raman spectroscopy is a powerful tool to probe structural dynamics, tracking local symmetry variations, lattice strain, and phase transitions. [1-2] This study presents a comparative analysis of </w:t>
      </w:r>
      <w:r w:rsidRPr="00CE4343">
        <w:rPr>
          <w:i/>
          <w:iCs/>
        </w:rPr>
        <w:t>in situ</w:t>
      </w:r>
      <w:r w:rsidRPr="00CE4343">
        <w:t xml:space="preserve"> and </w:t>
      </w:r>
      <w:r w:rsidRPr="00CE4343">
        <w:rPr>
          <w:i/>
          <w:iCs/>
        </w:rPr>
        <w:t>ex situ</w:t>
      </w:r>
      <w:r w:rsidRPr="00CE4343">
        <w:t xml:space="preserve"> Raman spectroscopy applied to a broad suite of NMC compositions, defining the distinct advantages and technical limitations of each approach.</w:t>
      </w:r>
    </w:p>
    <w:p w14:paraId="65A4F2B1" w14:textId="77777777" w:rsidR="00851950" w:rsidRPr="00CE4343" w:rsidRDefault="00851950" w:rsidP="000B0EA7">
      <w:pPr>
        <w:ind w:left="-360" w:right="-288"/>
        <w:jc w:val="both"/>
      </w:pPr>
    </w:p>
    <w:p w14:paraId="11788311" w14:textId="6EA8DA7E" w:rsidR="000B0EA7" w:rsidRDefault="000B0EA7" w:rsidP="000B0EA7">
      <w:pPr>
        <w:ind w:left="-360" w:right="-288"/>
        <w:jc w:val="both"/>
      </w:pPr>
      <w:proofErr w:type="gramStart"/>
      <w:r w:rsidRPr="00CE4343">
        <w:rPr>
          <w:i/>
          <w:iCs/>
        </w:rPr>
        <w:t>Ex situ</w:t>
      </w:r>
      <w:proofErr w:type="gramEnd"/>
      <w:r w:rsidRPr="00CE4343">
        <w:t xml:space="preserve"> measurements yield high signal-to-noise ratios, minimize background interference, and possibility to record extended maps, making them ideal for precise equilibrium-state characterization, especially in </w:t>
      </w:r>
      <w:proofErr w:type="gramStart"/>
      <w:r w:rsidRPr="00CE4343">
        <w:t>term</w:t>
      </w:r>
      <w:proofErr w:type="gramEnd"/>
      <w:r w:rsidRPr="00CE4343">
        <w:t xml:space="preserve"> of studying cycling conditions and material electrochemical state uniformity within electrode mass. [3-4] However, these methods cannot capture transient, non-equilibrium phases, and they are prone to sample relaxation. </w:t>
      </w:r>
      <w:proofErr w:type="gramStart"/>
      <w:r w:rsidRPr="00CE4343">
        <w:t>In order to</w:t>
      </w:r>
      <w:proofErr w:type="gramEnd"/>
      <w:r w:rsidRPr="00CE4343">
        <w:t xml:space="preserve"> avoid air-exposure artifacts, it is often necessary to use air-tight holders. Conversely, </w:t>
      </w:r>
      <w:r w:rsidRPr="00CE4343">
        <w:rPr>
          <w:i/>
          <w:iCs/>
        </w:rPr>
        <w:t>in situ</w:t>
      </w:r>
      <w:r w:rsidRPr="00CE4343">
        <w:t xml:space="preserve"> Raman spectroscopy enables real-time tracking of structural evolution under dynamic operating conditions, directly correlating phase behavior with electrochemical profiles. Nonetheless, </w:t>
      </w:r>
      <w:r w:rsidRPr="00CE4343">
        <w:rPr>
          <w:i/>
          <w:iCs/>
        </w:rPr>
        <w:t>in situ</w:t>
      </w:r>
      <w:r w:rsidRPr="00CE4343">
        <w:t xml:space="preserve"> configurations introduce technical hurdles, including experimental set-up difficulties, such as the active material detection problems within electrode mass, but also electrolyte fluorescence during measurement, and localized sample heating. The discussion will present a comparative analysis of </w:t>
      </w:r>
      <w:r w:rsidR="00954764">
        <w:t xml:space="preserve">NMC materials using </w:t>
      </w:r>
      <w:r w:rsidRPr="00CE4343">
        <w:t>both methods, highlighting their respective advantages and limitations.</w:t>
      </w:r>
    </w:p>
    <w:p w14:paraId="7797AD09" w14:textId="77777777" w:rsidR="00851950" w:rsidRPr="00CE4343" w:rsidRDefault="00851950" w:rsidP="000B0EA7">
      <w:pPr>
        <w:ind w:left="-360" w:right="-288"/>
        <w:jc w:val="both"/>
      </w:pPr>
    </w:p>
    <w:p w14:paraId="5748D766" w14:textId="77777777" w:rsidR="000B0EA7" w:rsidRDefault="000B0EA7" w:rsidP="000B0EA7">
      <w:pPr>
        <w:ind w:left="-360" w:right="-288"/>
        <w:jc w:val="both"/>
      </w:pPr>
      <w:r w:rsidRPr="00CE4343">
        <w:t>A persistent bottleneck in NMC Raman analysis is the spectral deconvolution of the overlapping A</w:t>
      </w:r>
      <w:r w:rsidRPr="00CE4343">
        <w:rPr>
          <w:vertAlign w:val="subscript"/>
        </w:rPr>
        <w:t>1g</w:t>
      </w:r>
      <w:r w:rsidRPr="00CE4343">
        <w:t xml:space="preserve"> and E</w:t>
      </w:r>
      <w:r w:rsidRPr="00CE4343">
        <w:rPr>
          <w:vertAlign w:val="subscript"/>
        </w:rPr>
        <w:t>g</w:t>
      </w:r>
      <w:r w:rsidRPr="00CE4343">
        <w:t xml:space="preserve"> vibrational modes. Because these active bands are highly sensitive to local microstructural distortions and cationic ordering, fitting the raw spectra of mixed transition metal oxide powders is complex and often prone to sophisticated empirical solutions. To resolve this spectral line overlapping, this work introduces a systematic, empirical methodology to standardize and constrain the deconvolution process. By evaluating an extensive matrix of NMC variants across a wide range of transition metal (TM) ratios, we establish a robust baseline of spectral trends. We demonstrate how systematic changes in the nickel, manganese, and cobalt fractions predictably shift peak positions and alter intensity ratios. This empirical framework reduces ambiguity in multi-peak fitting algorithms, offering a reliable pathway toward solving the deconvolution problem and facilitating correct interpretations of in situ and ex situ recorded spectra and potentially tracking degradation pathways in advanced NMC materials.</w:t>
      </w:r>
    </w:p>
    <w:p w14:paraId="0283B2EB" w14:textId="77777777" w:rsidR="00851950" w:rsidRPr="00CE4343" w:rsidRDefault="00851950" w:rsidP="000B0EA7">
      <w:pPr>
        <w:ind w:left="-360" w:right="-288"/>
        <w:jc w:val="both"/>
      </w:pPr>
    </w:p>
    <w:p w14:paraId="207C550C" w14:textId="77777777" w:rsidR="000B0EA7" w:rsidRPr="00CE4343" w:rsidRDefault="000B0EA7" w:rsidP="000B0EA7">
      <w:pPr>
        <w:ind w:left="-360" w:right="-288"/>
        <w:jc w:val="both"/>
      </w:pPr>
      <w:r w:rsidRPr="00CE4343">
        <w:t>Financial support for this research was provided by the National Science Center, Poland, through the Sonata BIS 11 program (Grant No. UMO-2021/42/E/ST5/00390).</w:t>
      </w:r>
    </w:p>
    <w:p w14:paraId="5CD783E6" w14:textId="77777777" w:rsidR="000B0EA7" w:rsidRPr="00CE4343" w:rsidRDefault="000B0EA7" w:rsidP="000B0EA7">
      <w:pPr>
        <w:ind w:left="-360" w:right="-288"/>
        <w:jc w:val="both"/>
      </w:pPr>
    </w:p>
    <w:p w14:paraId="52EC06E4" w14:textId="77777777" w:rsidR="000B0EA7" w:rsidRPr="00CE4343" w:rsidRDefault="000B0EA7" w:rsidP="000B0EA7">
      <w:pPr>
        <w:ind w:left="-360" w:right="-288"/>
        <w:jc w:val="both"/>
      </w:pPr>
      <w:r w:rsidRPr="00CE4343">
        <w:t>References:</w:t>
      </w:r>
    </w:p>
    <w:p w14:paraId="43D127BA" w14:textId="77777777" w:rsidR="000B0EA7" w:rsidRPr="00CE4343" w:rsidRDefault="000B0EA7" w:rsidP="000B0EA7">
      <w:pPr>
        <w:ind w:left="-360" w:right="-288"/>
        <w:jc w:val="both"/>
      </w:pPr>
      <w:r w:rsidRPr="00CE4343">
        <w:t xml:space="preserve">[1] D. A. Buchberger </w:t>
      </w:r>
      <w:r w:rsidRPr="00CE4343">
        <w:rPr>
          <w:i/>
          <w:iCs/>
        </w:rPr>
        <w:t>et al.</w:t>
      </w:r>
      <w:r w:rsidRPr="00CE4343">
        <w:t>, Discover Nano 20, 189 (2025). DOI 10.1186/s11671-025-04319-2</w:t>
      </w:r>
    </w:p>
    <w:p w14:paraId="49EDEEAD" w14:textId="77777777" w:rsidR="000B0EA7" w:rsidRPr="00CE4343" w:rsidRDefault="000B0EA7" w:rsidP="000B0EA7">
      <w:pPr>
        <w:ind w:left="-360" w:right="-288"/>
        <w:jc w:val="both"/>
        <w:rPr>
          <w:lang w:val="it-IT"/>
        </w:rPr>
      </w:pPr>
      <w:r w:rsidRPr="00CE4343">
        <w:t>[2] D. A. Buchberger </w:t>
      </w:r>
      <w:r w:rsidRPr="00CE4343">
        <w:rPr>
          <w:i/>
          <w:iCs/>
        </w:rPr>
        <w:t>et al</w:t>
      </w:r>
      <w:r w:rsidRPr="00CE4343">
        <w:t> 2025 </w:t>
      </w:r>
      <w:r w:rsidRPr="00CE4343">
        <w:rPr>
          <w:i/>
          <w:iCs/>
        </w:rPr>
        <w:t xml:space="preserve">Meet. </w:t>
      </w:r>
      <w:r w:rsidRPr="00CE4343">
        <w:rPr>
          <w:i/>
          <w:iCs/>
          <w:lang w:val="it-IT"/>
        </w:rPr>
        <w:t>Abstr.</w:t>
      </w:r>
      <w:r w:rsidRPr="00CE4343">
        <w:rPr>
          <w:lang w:val="it-IT"/>
        </w:rPr>
        <w:t> MA2025-01 564 (2025) DOI 10.1149/MA2025-015564mtgabs</w:t>
      </w:r>
    </w:p>
    <w:p w14:paraId="47EA3019" w14:textId="77777777" w:rsidR="000B0EA7" w:rsidRPr="00CE4343" w:rsidRDefault="000B0EA7" w:rsidP="000B0EA7">
      <w:pPr>
        <w:ind w:left="-360" w:right="-288"/>
        <w:jc w:val="both"/>
        <w:rPr>
          <w:lang w:val="it-IT"/>
        </w:rPr>
      </w:pPr>
      <w:r w:rsidRPr="00CE4343">
        <w:rPr>
          <w:lang w:val="it-IT"/>
        </w:rPr>
        <w:t>[3] A. Glaszczka </w:t>
      </w:r>
      <w:r w:rsidRPr="00CE4343">
        <w:rPr>
          <w:i/>
          <w:iCs/>
          <w:lang w:val="it-IT"/>
        </w:rPr>
        <w:t>et al.</w:t>
      </w:r>
      <w:r w:rsidRPr="00CE4343">
        <w:rPr>
          <w:lang w:val="it-IT"/>
        </w:rPr>
        <w:t> 2025 </w:t>
      </w:r>
      <w:r w:rsidRPr="00CE4343">
        <w:rPr>
          <w:i/>
          <w:iCs/>
          <w:lang w:val="it-IT"/>
        </w:rPr>
        <w:t>Meet. Abstr.</w:t>
      </w:r>
      <w:r w:rsidRPr="00CE4343">
        <w:rPr>
          <w:lang w:val="it-IT"/>
        </w:rPr>
        <w:t> MA2025-01 616 (2025) DOI 10.1149/MA2025-015616mtgabs</w:t>
      </w:r>
    </w:p>
    <w:p w14:paraId="7E441355" w14:textId="77777777" w:rsidR="000B0EA7" w:rsidRPr="00CE4343" w:rsidRDefault="000B0EA7" w:rsidP="000B0EA7">
      <w:pPr>
        <w:ind w:left="-360" w:right="-288"/>
        <w:jc w:val="both"/>
        <w:rPr>
          <w:lang w:val="it-IT"/>
        </w:rPr>
      </w:pPr>
      <w:r w:rsidRPr="00CE4343">
        <w:rPr>
          <w:lang w:val="it-IT"/>
        </w:rPr>
        <w:t>[4] A. Glaszczka </w:t>
      </w:r>
      <w:r w:rsidRPr="00CE4343">
        <w:rPr>
          <w:i/>
          <w:iCs/>
          <w:lang w:val="it-IT"/>
        </w:rPr>
        <w:t>et al</w:t>
      </w:r>
      <w:r w:rsidRPr="00CE4343">
        <w:rPr>
          <w:lang w:val="it-IT"/>
        </w:rPr>
        <w:t>. 2024 </w:t>
      </w:r>
      <w:r w:rsidRPr="00CE4343">
        <w:rPr>
          <w:i/>
          <w:iCs/>
          <w:lang w:val="it-IT"/>
        </w:rPr>
        <w:t xml:space="preserve">Meet. </w:t>
      </w:r>
      <w:proofErr w:type="spellStart"/>
      <w:r w:rsidRPr="00CE4343">
        <w:rPr>
          <w:i/>
          <w:iCs/>
        </w:rPr>
        <w:t>Abstr</w:t>
      </w:r>
      <w:proofErr w:type="spellEnd"/>
      <w:r w:rsidRPr="00CE4343">
        <w:rPr>
          <w:i/>
          <w:iCs/>
        </w:rPr>
        <w:t>.</w:t>
      </w:r>
      <w:r w:rsidRPr="00CE4343">
        <w:t> </w:t>
      </w:r>
      <w:r w:rsidRPr="00CE4343">
        <w:rPr>
          <w:lang w:val="it-IT"/>
        </w:rPr>
        <w:t>MA2024-02 444 (2024) DOI 10.1149/MA2024-024444mtgabs</w:t>
      </w:r>
    </w:p>
    <w:p w14:paraId="19DE643C" w14:textId="77777777" w:rsidR="00325004" w:rsidRDefault="00325004" w:rsidP="00E0716D">
      <w:pPr>
        <w:jc w:val="both"/>
      </w:pPr>
    </w:p>
    <w:p w14:paraId="19DE643D" w14:textId="77777777" w:rsidR="00325004" w:rsidRDefault="00325004" w:rsidP="00E0716D">
      <w:pPr>
        <w:jc w:val="both"/>
      </w:pPr>
    </w:p>
    <w:p w14:paraId="19DE643E"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B0EA7"/>
    <w:rsid w:val="00210D25"/>
    <w:rsid w:val="00325004"/>
    <w:rsid w:val="00536366"/>
    <w:rsid w:val="00677751"/>
    <w:rsid w:val="00685C1A"/>
    <w:rsid w:val="00851950"/>
    <w:rsid w:val="00954764"/>
    <w:rsid w:val="00A22279"/>
    <w:rsid w:val="00C71466"/>
    <w:rsid w:val="00CC5D89"/>
    <w:rsid w:val="00E0716D"/>
    <w:rsid w:val="00E727ED"/>
    <w:rsid w:val="00F3781A"/>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DE6425"/>
  <w14:defaultImageDpi w14:val="300"/>
  <w15:docId w15:val="{C4E61449-A7D4-487E-9E5A-3B84A93E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Dominika Buchberger</cp:lastModifiedBy>
  <cp:revision>11</cp:revision>
  <cp:lastPrinted>2013-10-21T12:07:00Z</cp:lastPrinted>
  <dcterms:created xsi:type="dcterms:W3CDTF">2021-03-10T13:20:00Z</dcterms:created>
  <dcterms:modified xsi:type="dcterms:W3CDTF">2026-06-01T14:34:00Z</dcterms:modified>
</cp:coreProperties>
</file>