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D4BAE" w14:textId="1A7B47F8" w:rsidR="00325004" w:rsidRDefault="006611AA" w:rsidP="00E0716D">
      <w:pPr>
        <w:jc w:val="center"/>
        <w:rPr>
          <w:b/>
          <w:sz w:val="28"/>
        </w:rPr>
      </w:pPr>
      <w:r w:rsidRPr="006611AA">
        <w:rPr>
          <w:b/>
          <w:sz w:val="28"/>
        </w:rPr>
        <w:t>Branched Boron-Doped sp</w:t>
      </w:r>
      <w:r w:rsidRPr="006611AA">
        <w:rPr>
          <w:b/>
          <w:sz w:val="28"/>
          <w:vertAlign w:val="superscript"/>
        </w:rPr>
        <w:t>2</w:t>
      </w:r>
      <w:r w:rsidRPr="006611AA">
        <w:rPr>
          <w:b/>
          <w:sz w:val="28"/>
        </w:rPr>
        <w:t xml:space="preserve">-Rich Carbon </w:t>
      </w:r>
      <w:proofErr w:type="spellStart"/>
      <w:r w:rsidRPr="006611AA">
        <w:rPr>
          <w:b/>
          <w:sz w:val="28"/>
        </w:rPr>
        <w:t>Nanowalls</w:t>
      </w:r>
      <w:proofErr w:type="spellEnd"/>
      <w:r w:rsidRPr="006611AA">
        <w:rPr>
          <w:b/>
          <w:sz w:val="28"/>
        </w:rPr>
        <w:t xml:space="preserve"> as Electrochemical Interfaces for the Detection of Hazardous Organic Pollutants in Aquatic Environments</w:t>
      </w:r>
    </w:p>
    <w:p w14:paraId="2EAD67E3" w14:textId="77777777" w:rsidR="006611AA" w:rsidRPr="00A86EB9" w:rsidRDefault="006611AA" w:rsidP="00E0716D">
      <w:pPr>
        <w:jc w:val="center"/>
        <w:rPr>
          <w:b/>
          <w:sz w:val="28"/>
        </w:rPr>
      </w:pPr>
    </w:p>
    <w:p w14:paraId="57AE12E0" w14:textId="77777777" w:rsidR="009E7AF2" w:rsidRPr="00504178" w:rsidRDefault="009E7AF2" w:rsidP="009E7AF2">
      <w:pPr>
        <w:jc w:val="center"/>
        <w:rPr>
          <w:vertAlign w:val="superscript"/>
          <w:lang w:val="en-GB"/>
        </w:rPr>
      </w:pPr>
      <w:r w:rsidRPr="00504178">
        <w:rPr>
          <w:u w:val="single"/>
          <w:lang w:val="en-GB"/>
        </w:rPr>
        <w:t xml:space="preserve">Anna Dettlaff </w:t>
      </w:r>
      <w:r w:rsidRPr="00504178">
        <w:rPr>
          <w:vertAlign w:val="superscript"/>
          <w:lang w:val="en-GB"/>
        </w:rPr>
        <w:t>a</w:t>
      </w:r>
      <w:r w:rsidRPr="00504178">
        <w:rPr>
          <w:lang w:val="en-GB"/>
        </w:rPr>
        <w:t xml:space="preserve">, Paweł </w:t>
      </w:r>
      <w:proofErr w:type="spellStart"/>
      <w:r w:rsidRPr="00504178">
        <w:rPr>
          <w:lang w:val="en-GB"/>
        </w:rPr>
        <w:t>Rutecki</w:t>
      </w:r>
      <w:r w:rsidRPr="00504178">
        <w:rPr>
          <w:vertAlign w:val="superscript"/>
          <w:lang w:val="en-GB"/>
        </w:rPr>
        <w:t>a</w:t>
      </w:r>
      <w:proofErr w:type="spellEnd"/>
      <w:r w:rsidRPr="00504178">
        <w:rPr>
          <w:lang w:val="en-GB"/>
        </w:rPr>
        <w:t xml:space="preserve">, Michał </w:t>
      </w:r>
      <w:proofErr w:type="spellStart"/>
      <w:r w:rsidRPr="00504178">
        <w:rPr>
          <w:lang w:val="en-GB"/>
        </w:rPr>
        <w:t>Sobaszek</w:t>
      </w:r>
      <w:r w:rsidRPr="00504178">
        <w:rPr>
          <w:vertAlign w:val="superscript"/>
          <w:lang w:val="en-GB"/>
        </w:rPr>
        <w:t>a</w:t>
      </w:r>
      <w:proofErr w:type="spellEnd"/>
      <w:r w:rsidRPr="00504178">
        <w:rPr>
          <w:lang w:val="en-GB"/>
        </w:rPr>
        <w:t>, Robert Bogdanowicz</w:t>
      </w:r>
      <w:r w:rsidRPr="00504178">
        <w:rPr>
          <w:vertAlign w:val="superscript"/>
          <w:lang w:val="en-GB"/>
        </w:rPr>
        <w:t>a</w:t>
      </w:r>
    </w:p>
    <w:p w14:paraId="218A5411" w14:textId="77777777" w:rsidR="009E7AF2" w:rsidRDefault="009E7AF2" w:rsidP="00E0716D">
      <w:pPr>
        <w:jc w:val="center"/>
        <w:rPr>
          <w:i/>
        </w:rPr>
      </w:pPr>
    </w:p>
    <w:p w14:paraId="7735BA3B" w14:textId="77777777" w:rsidR="00A73E74" w:rsidRPr="00504178" w:rsidRDefault="00A73E74" w:rsidP="00A73E74">
      <w:pPr>
        <w:jc w:val="center"/>
        <w:rPr>
          <w:i/>
          <w:lang w:val="en-GB"/>
        </w:rPr>
      </w:pPr>
      <w:proofErr w:type="spellStart"/>
      <w:r w:rsidRPr="00504178">
        <w:rPr>
          <w:i/>
          <w:vertAlign w:val="superscript"/>
          <w:lang w:val="en-GB"/>
        </w:rPr>
        <w:t>a</w:t>
      </w:r>
      <w:r w:rsidRPr="00504178">
        <w:rPr>
          <w:i/>
          <w:lang w:val="en-GB"/>
        </w:rPr>
        <w:t>Gdańsk</w:t>
      </w:r>
      <w:proofErr w:type="spellEnd"/>
      <w:r w:rsidRPr="00504178">
        <w:rPr>
          <w:i/>
          <w:lang w:val="en-GB"/>
        </w:rPr>
        <w:t xml:space="preserve"> University of Technology, 11/12 </w:t>
      </w:r>
      <w:proofErr w:type="spellStart"/>
      <w:r w:rsidRPr="00504178">
        <w:rPr>
          <w:i/>
          <w:lang w:val="en-GB"/>
        </w:rPr>
        <w:t>Narutowicza</w:t>
      </w:r>
      <w:proofErr w:type="spellEnd"/>
      <w:r w:rsidRPr="00504178">
        <w:rPr>
          <w:i/>
          <w:lang w:val="en-GB"/>
        </w:rPr>
        <w:t xml:space="preserve"> Str., 80-233, </w:t>
      </w:r>
      <w:proofErr w:type="spellStart"/>
      <w:r w:rsidRPr="00504178">
        <w:rPr>
          <w:i/>
          <w:lang w:val="en-GB"/>
        </w:rPr>
        <w:t>Gdańsk</w:t>
      </w:r>
      <w:proofErr w:type="spellEnd"/>
      <w:r w:rsidRPr="00504178">
        <w:rPr>
          <w:i/>
          <w:lang w:val="en-GB"/>
        </w:rPr>
        <w:t>, Poland</w:t>
      </w:r>
    </w:p>
    <w:p w14:paraId="297F3A3D" w14:textId="77777777" w:rsidR="00A73E74" w:rsidRDefault="00A73E74" w:rsidP="00E0716D">
      <w:pPr>
        <w:jc w:val="center"/>
        <w:rPr>
          <w:i/>
        </w:rPr>
      </w:pPr>
    </w:p>
    <w:p w14:paraId="273D4BB3" w14:textId="02464DF0" w:rsidR="00325004" w:rsidRDefault="008203BE" w:rsidP="00E0716D">
      <w:pPr>
        <w:jc w:val="center"/>
        <w:rPr>
          <w:i/>
        </w:rPr>
      </w:pPr>
      <w:hyperlink r:id="rId4" w:history="1">
        <w:r w:rsidRPr="00DD6E43">
          <w:rPr>
            <w:rStyle w:val="Hipercze"/>
            <w:i/>
          </w:rPr>
          <w:t>anna.dettlaff@pg.edu.pl</w:t>
        </w:r>
      </w:hyperlink>
    </w:p>
    <w:p w14:paraId="39F45E9E" w14:textId="77777777" w:rsidR="008203BE" w:rsidRDefault="008203BE" w:rsidP="00E0716D">
      <w:pPr>
        <w:jc w:val="center"/>
      </w:pPr>
    </w:p>
    <w:p w14:paraId="2C12C7D9" w14:textId="77777777" w:rsidR="003D5F07" w:rsidRDefault="003D5F07" w:rsidP="003D5F07">
      <w:pPr>
        <w:jc w:val="both"/>
      </w:pPr>
      <w:r>
        <w:t>Carbon-based electrodes are widely explored as advanced electrochemical interfaces for sensing applications due to their high electrical conductivity, broad potential window, chemical stability, and tunable surface architecture. In environmental monitoring, the rational design of carbon electrode materials is particularly important, as the detection of trace pollutants often requires fast electron transfer, high sensitivity, and reliable operation in complex matrices. Porous, defect-rich, and doped carbon structures provide an attractive platform for electrochemical detection, enabling enhanced interaction with target analytes and improved analytical performance under challenging real-sample conditions.</w:t>
      </w:r>
    </w:p>
    <w:p w14:paraId="6789937D" w14:textId="77777777" w:rsidR="003D5F07" w:rsidRDefault="003D5F07" w:rsidP="003D5F07">
      <w:pPr>
        <w:jc w:val="both"/>
      </w:pPr>
    </w:p>
    <w:p w14:paraId="23EC2370" w14:textId="77777777" w:rsidR="003D5F07" w:rsidRDefault="003D5F07" w:rsidP="003D5F07">
      <w:pPr>
        <w:jc w:val="both"/>
      </w:pPr>
      <w:r>
        <w:t>Although conventional analytical techniques, such as chromatography and mass spectrometry, remain the benchmark for accurate pollutant identification and quantification, their use is often limited by the need for expensive instrumentation, laborious sample preparation, trained personnel, and laboratory-based analysis. Electrochemical sensors offer an attractive alternative by enabling rapid, cost-effective, and potentially on-site detection. However, their analytical performance is strongly dependent on the properties of the electrode material. The structure, conductivity, surface chemistry, porosity, and defect density of the electrode govern charge transfer kinetics, analyte adsorption, signal intensity, and resistance to matrix effects. Therefore, the development of advanced electrode materials is a key step toward reliable electrochemical monitoring of hazardous organic pollutants in real aquatic environments.</w:t>
      </w:r>
    </w:p>
    <w:p w14:paraId="35185149" w14:textId="77777777" w:rsidR="003D5F07" w:rsidRDefault="003D5F07" w:rsidP="003D5F07">
      <w:pPr>
        <w:jc w:val="both"/>
      </w:pPr>
    </w:p>
    <w:p w14:paraId="00F32FF2" w14:textId="77777777" w:rsidR="003D5F07" w:rsidRDefault="003D5F07" w:rsidP="003D5F07">
      <w:pPr>
        <w:jc w:val="both"/>
      </w:pPr>
      <w:r>
        <w:t>In this work, we present branched boron-doped sp</w:t>
      </w:r>
      <w:r w:rsidRPr="003D5F07">
        <w:rPr>
          <w:vertAlign w:val="superscript"/>
        </w:rPr>
        <w:t>2</w:t>
      </w:r>
      <w:r>
        <w:t xml:space="preserve">-rich carbon </w:t>
      </w:r>
      <w:proofErr w:type="spellStart"/>
      <w:r>
        <w:t>nanowall</w:t>
      </w:r>
      <w:proofErr w:type="spellEnd"/>
      <w:r>
        <w:t xml:space="preserve"> electrodes (BCNWs) fabricated by plasma-enhanced chemical </w:t>
      </w:r>
      <w:proofErr w:type="spellStart"/>
      <w:r>
        <w:t>vapour</w:t>
      </w:r>
      <w:proofErr w:type="spellEnd"/>
      <w:r>
        <w:t xml:space="preserve"> deposition (PECVD) as advanced electrochemical interfaces for the detection of selected hazardous organic pollutants, including nitroaromatic energetic compounds and bisphenol A [1]. </w:t>
      </w:r>
      <w:proofErr w:type="gramStart"/>
      <w:r>
        <w:t>Particular attention</w:t>
      </w:r>
      <w:proofErr w:type="gramEnd"/>
      <w:r>
        <w:t xml:space="preserve"> was given to </w:t>
      </w:r>
      <w:proofErr w:type="spellStart"/>
      <w:r>
        <w:t>optimising</w:t>
      </w:r>
      <w:proofErr w:type="spellEnd"/>
      <w:r>
        <w:t xml:space="preserve"> the PECVD growth process to control the morphology, boron incorporation, surface structure, and electrochemical properties of the carbon </w:t>
      </w:r>
      <w:proofErr w:type="spellStart"/>
      <w:r>
        <w:t>nanowalls</w:t>
      </w:r>
      <w:proofErr w:type="spellEnd"/>
      <w:r>
        <w:t xml:space="preserve">, to improve their analytical performance. The obtained branched architecture provides an extended electroactive surface area, accessible conductive pathways, and </w:t>
      </w:r>
      <w:proofErr w:type="spellStart"/>
      <w:proofErr w:type="gramStart"/>
      <w:r>
        <w:t>favourable</w:t>
      </w:r>
      <w:proofErr w:type="spellEnd"/>
      <w:r>
        <w:t xml:space="preserve"> electrode–</w:t>
      </w:r>
      <w:proofErr w:type="gramEnd"/>
      <w:r>
        <w:t xml:space="preserve">electrolyte interfacial properties for both reduction- and oxidation-based sensing processes. The </w:t>
      </w:r>
      <w:proofErr w:type="spellStart"/>
      <w:r>
        <w:t>optimised</w:t>
      </w:r>
      <w:proofErr w:type="spellEnd"/>
      <w:r>
        <w:t xml:space="preserve"> electrodes were evaluated in model solutions and real aquatic matrices, including marine water samples with different physicochemical characteristics [2]. The results demonstrate BCNWs provide sensitive and reliable electrochemical responses toward structurally different organic pollutants, highlighting their potential as cost-effective and adaptable platforms for environmental monitoring applications.</w:t>
      </w:r>
    </w:p>
    <w:p w14:paraId="0C8302E7" w14:textId="77777777" w:rsidR="003D5F07" w:rsidRDefault="003D5F07" w:rsidP="003D5F07">
      <w:pPr>
        <w:jc w:val="both"/>
      </w:pPr>
    </w:p>
    <w:p w14:paraId="1912FCF0" w14:textId="77777777" w:rsidR="003D5F07" w:rsidRDefault="003D5F07" w:rsidP="003D5F07">
      <w:pPr>
        <w:jc w:val="both"/>
      </w:pPr>
      <w:r>
        <w:t>Reference</w:t>
      </w:r>
    </w:p>
    <w:p w14:paraId="087E37D4" w14:textId="77777777" w:rsidR="003D5F07" w:rsidRDefault="003D5F07" w:rsidP="003D5F07">
      <w:pPr>
        <w:jc w:val="both"/>
      </w:pPr>
      <w:r>
        <w:t>[1] A. Dettlaff et al., J. Chem. Eng. 493 (2024) 152620</w:t>
      </w:r>
    </w:p>
    <w:p w14:paraId="6D30776C" w14:textId="77777777" w:rsidR="003D5F07" w:rsidRDefault="003D5F07" w:rsidP="003D5F07">
      <w:pPr>
        <w:jc w:val="both"/>
      </w:pPr>
      <w:r>
        <w:t>[2] P. Rutecki, A. Dettlaff et al., Sens. Actuators B: Chem. 446 (2026) 138615</w:t>
      </w:r>
    </w:p>
    <w:p w14:paraId="776263A7" w14:textId="77777777" w:rsidR="003D5F07" w:rsidRDefault="003D5F07" w:rsidP="003D5F07">
      <w:pPr>
        <w:jc w:val="both"/>
      </w:pPr>
    </w:p>
    <w:p w14:paraId="1495F82E" w14:textId="77777777" w:rsidR="003D5F07" w:rsidRDefault="003D5F07" w:rsidP="003D5F07">
      <w:pPr>
        <w:jc w:val="both"/>
      </w:pPr>
      <w:r>
        <w:t>Acknowledgements</w:t>
      </w:r>
    </w:p>
    <w:p w14:paraId="273D4BC4" w14:textId="585EAF96" w:rsidR="00325004" w:rsidRDefault="003D5F07" w:rsidP="003D5F07">
      <w:pPr>
        <w:jc w:val="both"/>
      </w:pPr>
      <w:r>
        <w:t>The research leading to these results has received funding from the Norway Grants 2014-2021 via the National Centre for Research and Development within research grant no. NOR/SGS/</w:t>
      </w:r>
      <w:proofErr w:type="spellStart"/>
      <w:r>
        <w:t>NITROsens</w:t>
      </w:r>
      <w:proofErr w:type="spellEnd"/>
      <w:r>
        <w:t>/0011/2020-00</w:t>
      </w:r>
    </w:p>
    <w:p w14:paraId="273D4BC5" w14:textId="77777777" w:rsidR="00325004" w:rsidRDefault="00325004" w:rsidP="00E0716D">
      <w:pPr>
        <w:jc w:val="both"/>
      </w:pPr>
    </w:p>
    <w:p w14:paraId="273D4BC6"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233ADB"/>
    <w:rsid w:val="00325004"/>
    <w:rsid w:val="003D5F07"/>
    <w:rsid w:val="00536366"/>
    <w:rsid w:val="006611AA"/>
    <w:rsid w:val="00685C1A"/>
    <w:rsid w:val="008203BE"/>
    <w:rsid w:val="009E7AF2"/>
    <w:rsid w:val="00A73E74"/>
    <w:rsid w:val="00E0716D"/>
    <w:rsid w:val="00EB495F"/>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3D4BAD"/>
  <w14:defaultImageDpi w14:val="300"/>
  <w15:docId w15:val="{381D1448-F60D-4D4C-AAFA-EDE78B91F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203BE"/>
    <w:rPr>
      <w:color w:val="0000FF" w:themeColor="hyperlink"/>
      <w:u w:val="single"/>
    </w:rPr>
  </w:style>
  <w:style w:type="character" w:styleId="Nierozpoznanawzmianka">
    <w:name w:val="Unresolved Mention"/>
    <w:basedOn w:val="Domylnaczcionkaakapitu"/>
    <w:uiPriority w:val="99"/>
    <w:semiHidden/>
    <w:unhideWhenUsed/>
    <w:rsid w:val="008203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na.dettlaff@pg.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513</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Anna Dettlaff</cp:lastModifiedBy>
  <cp:revision>2</cp:revision>
  <cp:lastPrinted>2013-10-21T12:07:00Z</cp:lastPrinted>
  <dcterms:created xsi:type="dcterms:W3CDTF">2026-05-28T11:35:00Z</dcterms:created>
  <dcterms:modified xsi:type="dcterms:W3CDTF">2026-05-28T11:35:00Z</dcterms:modified>
</cp:coreProperties>
</file>