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B2B80" w14:textId="7C20313D" w:rsidR="00325004" w:rsidRPr="002648FD" w:rsidRDefault="00EA4892" w:rsidP="00E0716D">
      <w:pPr>
        <w:jc w:val="center"/>
        <w:rPr>
          <w:b/>
          <w:sz w:val="28"/>
        </w:rPr>
      </w:pPr>
      <w:r w:rsidRPr="002648FD">
        <w:rPr>
          <w:b/>
          <w:sz w:val="28"/>
        </w:rPr>
        <w:t xml:space="preserve">Visualization of Water Management in a Zero-gap </w:t>
      </w:r>
      <w:r w:rsidR="008B16F8">
        <w:rPr>
          <w:b/>
          <w:sz w:val="28"/>
        </w:rPr>
        <w:t>CO</w:t>
      </w:r>
      <w:r w:rsidR="008B16F8" w:rsidRPr="008B16F8">
        <w:rPr>
          <w:b/>
          <w:sz w:val="28"/>
          <w:vertAlign w:val="subscript"/>
        </w:rPr>
        <w:t>2</w:t>
      </w:r>
      <w:r w:rsidR="008B16F8">
        <w:rPr>
          <w:b/>
          <w:sz w:val="28"/>
        </w:rPr>
        <w:t xml:space="preserve"> </w:t>
      </w:r>
      <w:r w:rsidRPr="002648FD">
        <w:rPr>
          <w:b/>
          <w:sz w:val="28"/>
        </w:rPr>
        <w:t xml:space="preserve">Electrolyzer </w:t>
      </w:r>
      <w:r w:rsidR="00441205">
        <w:rPr>
          <w:b/>
          <w:sz w:val="28"/>
        </w:rPr>
        <w:t>using</w:t>
      </w:r>
      <w:r w:rsidRPr="002648FD">
        <w:rPr>
          <w:b/>
          <w:sz w:val="28"/>
        </w:rPr>
        <w:t xml:space="preserve"> Neutron Imaging</w:t>
      </w:r>
    </w:p>
    <w:p w14:paraId="08C0AFA9" w14:textId="77777777" w:rsidR="00325004" w:rsidRPr="002648FD" w:rsidRDefault="00325004" w:rsidP="00E0716D">
      <w:pPr>
        <w:jc w:val="center"/>
        <w:rPr>
          <w:b/>
          <w:sz w:val="28"/>
        </w:rPr>
      </w:pPr>
    </w:p>
    <w:p w14:paraId="631F97EC" w14:textId="554F4306" w:rsidR="00325004" w:rsidRPr="002648FD" w:rsidRDefault="00EA4892" w:rsidP="00E0716D">
      <w:pPr>
        <w:jc w:val="center"/>
      </w:pPr>
      <w:r w:rsidRPr="002648FD">
        <w:rPr>
          <w:u w:val="single"/>
        </w:rPr>
        <w:t>Järi Van den Hoek</w:t>
      </w:r>
      <w:r w:rsidR="00325004" w:rsidRPr="002648FD">
        <w:t xml:space="preserve">, </w:t>
      </w:r>
      <w:r w:rsidRPr="002648FD">
        <w:t xml:space="preserve">Lieven Hintjens, Sam Van Daele, Clem De Preter, </w:t>
      </w:r>
      <w:r w:rsidR="004213FB">
        <w:rPr>
          <w:szCs w:val="24"/>
        </w:rPr>
        <w:t xml:space="preserve">Eric Ricardo Carreón Ruiz, </w:t>
      </w:r>
      <w:r w:rsidR="000C3779">
        <w:rPr>
          <w:szCs w:val="24"/>
        </w:rPr>
        <w:br/>
      </w:r>
      <w:r w:rsidR="004213FB">
        <w:rPr>
          <w:szCs w:val="24"/>
        </w:rPr>
        <w:t xml:space="preserve">Pavel Trtik, </w:t>
      </w:r>
      <w:r w:rsidRPr="002648FD">
        <w:t>Daniel Choukroun, and Prof. Tom Breugelmans</w:t>
      </w:r>
    </w:p>
    <w:p w14:paraId="4E14150C" w14:textId="32B592ED" w:rsidR="00325004" w:rsidRPr="002648FD" w:rsidRDefault="00EA4892" w:rsidP="00E0716D">
      <w:pPr>
        <w:jc w:val="center"/>
        <w:rPr>
          <w:i/>
        </w:rPr>
      </w:pPr>
      <w:r w:rsidRPr="002648FD">
        <w:rPr>
          <w:i/>
        </w:rPr>
        <w:t>Applied Electrochemistry and Catalysis</w:t>
      </w:r>
    </w:p>
    <w:p w14:paraId="73783ECE" w14:textId="713C3968" w:rsidR="00325004" w:rsidRPr="002648FD" w:rsidRDefault="00EA4892" w:rsidP="00E0716D">
      <w:pPr>
        <w:jc w:val="center"/>
      </w:pPr>
      <w:r w:rsidRPr="002648FD">
        <w:rPr>
          <w:i/>
        </w:rPr>
        <w:t xml:space="preserve">Universiteitsplein 1 Building B, 2610 Wilrijk, Belgium </w:t>
      </w:r>
    </w:p>
    <w:p w14:paraId="670E4FAE" w14:textId="72DA2FDE" w:rsidR="00685C1A" w:rsidRPr="002648FD" w:rsidRDefault="00EA4892" w:rsidP="00E0716D">
      <w:pPr>
        <w:jc w:val="center"/>
        <w:rPr>
          <w:i/>
        </w:rPr>
      </w:pPr>
      <w:r w:rsidRPr="002648FD">
        <w:rPr>
          <w:i/>
        </w:rPr>
        <w:t>Jaeri.VandenHoek@uantwerpen.be</w:t>
      </w:r>
    </w:p>
    <w:p w14:paraId="7D27C921" w14:textId="6B285937" w:rsidR="00EA4892" w:rsidRPr="002648FD" w:rsidRDefault="004A32CD" w:rsidP="00E0716D">
      <w:pPr>
        <w:jc w:val="both"/>
      </w:pPr>
      <w:r>
        <w:rPr>
          <w:noProof/>
          <w:snapToGrid/>
        </w:rPr>
        <w:drawing>
          <wp:anchor distT="0" distB="0" distL="114300" distR="114300" simplePos="0" relativeHeight="251658240" behindDoc="0" locked="0" layoutInCell="1" allowOverlap="1" wp14:anchorId="6BC622BE" wp14:editId="1637E4A0">
            <wp:simplePos x="0" y="0"/>
            <wp:positionH relativeFrom="column">
              <wp:posOffset>19050</wp:posOffset>
            </wp:positionH>
            <wp:positionV relativeFrom="paragraph">
              <wp:posOffset>146050</wp:posOffset>
            </wp:positionV>
            <wp:extent cx="3329940" cy="1640205"/>
            <wp:effectExtent l="0" t="0" r="3810" b="0"/>
            <wp:wrapSquare wrapText="bothSides"/>
            <wp:docPr id="2000398344"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2000398344" name="Picture 1"/>
                    <pic:cNvPicPr/>
                  </pic:nvPicPr>
                  <pic:blipFill>
                    <a:blip r:embed="rId4"/>
                    <a:stretch>
                      <a:fillRect/>
                    </a:stretch>
                  </pic:blipFill>
                  <pic:spPr>
                    <a:xfrm>
                      <a:off x="0" y="0"/>
                      <a:ext cx="3329940" cy="1640205"/>
                    </a:xfrm>
                    <a:prstGeom prst="rect">
                      <a:avLst/>
                    </a:prstGeom>
                  </pic:spPr>
                </pic:pic>
              </a:graphicData>
            </a:graphic>
            <wp14:sizeRelH relativeFrom="margin">
              <wp14:pctWidth>0</wp14:pctWidth>
            </wp14:sizeRelH>
          </wp:anchor>
        </w:drawing>
      </w:r>
    </w:p>
    <w:p w14:paraId="45F2B37B" w14:textId="7B8CFF3A" w:rsidR="002648FD" w:rsidRPr="002648FD" w:rsidRDefault="002648FD" w:rsidP="002648FD">
      <w:pPr>
        <w:jc w:val="both"/>
      </w:pPr>
      <w:r w:rsidRPr="002648FD">
        <w:t>Research on the electrochemical conversion of CO</w:t>
      </w:r>
      <w:r w:rsidRPr="002648FD">
        <w:rPr>
          <w:vertAlign w:val="subscript"/>
        </w:rPr>
        <w:t>2</w:t>
      </w:r>
      <w:r w:rsidRPr="002648FD">
        <w:t xml:space="preserve"> (eCO</w:t>
      </w:r>
      <w:r w:rsidRPr="002648FD">
        <w:rPr>
          <w:vertAlign w:val="subscript"/>
        </w:rPr>
        <w:t>2</w:t>
      </w:r>
      <w:r w:rsidRPr="002648FD">
        <w:t xml:space="preserve">R) to sustainable chemicals and fuels has </w:t>
      </w:r>
      <w:r w:rsidR="00B330DD">
        <w:t>advanced</w:t>
      </w:r>
      <w:r w:rsidRPr="002648FD">
        <w:t xml:space="preserve"> </w:t>
      </w:r>
      <w:r w:rsidR="00B330DD">
        <w:t xml:space="preserve">in </w:t>
      </w:r>
      <w:r w:rsidRPr="002648FD">
        <w:t>both electrocatalyst and reactor engineering, enabling electrolyzers to achieve selectivities exceeding 80% at industrially relevant current densities. Currently, two electrolyzer configurations have demonstrated industrial viability: (i) a three-compartment flow-by</w:t>
      </w:r>
      <w:r w:rsidR="003D169E">
        <w:t xml:space="preserve"> electrolyzer</w:t>
      </w:r>
      <w:r w:rsidRPr="002648FD">
        <w:t xml:space="preserve"> and (ii) a two-compartment zero-gap electrolyzer. While the former exhibits greater operational stability, its energy efficiency is limited by the increased cell voltage </w:t>
      </w:r>
      <w:r w:rsidR="00B330DD">
        <w:t xml:space="preserve">due to </w:t>
      </w:r>
      <w:r w:rsidRPr="002648FD">
        <w:t>ionic resistance across the three compartments.</w:t>
      </w:r>
      <w:r w:rsidR="00DB7E2E">
        <w:rPr>
          <w:vertAlign w:val="superscript"/>
        </w:rPr>
        <w:t>[1]</w:t>
      </w:r>
      <w:r w:rsidRPr="002648FD">
        <w:t xml:space="preserve"> Consequently, reducing the </w:t>
      </w:r>
      <w:r>
        <w:t>configuration</w:t>
      </w:r>
      <w:r w:rsidRPr="002648FD">
        <w:t xml:space="preserve"> to a two-compartment zero-gap configuration </w:t>
      </w:r>
      <w:r w:rsidR="00DB7E2E">
        <w:t>is</w:t>
      </w:r>
      <w:r w:rsidRPr="002648FD">
        <w:t xml:space="preserve"> a more energy-efficient alternative. However, the long-term stability of zero-gap electrolyzers remains hindered by two major challenges: salt precipitation and insufficient water management at the cathode interface.</w:t>
      </w:r>
      <w:r w:rsidR="00DB7E2E">
        <w:rPr>
          <w:vertAlign w:val="superscript"/>
        </w:rPr>
        <w:t>[2]</w:t>
      </w:r>
      <w:r w:rsidR="007429FF">
        <w:t xml:space="preserve"> </w:t>
      </w:r>
      <w:r w:rsidRPr="002648FD">
        <w:t xml:space="preserve">Water plays a central role in the </w:t>
      </w:r>
      <w:r>
        <w:t>e</w:t>
      </w:r>
      <w:r w:rsidRPr="002648FD">
        <w:t>CO</w:t>
      </w:r>
      <w:r w:rsidRPr="002648FD">
        <w:rPr>
          <w:vertAlign w:val="subscript"/>
        </w:rPr>
        <w:t>2</w:t>
      </w:r>
      <w:r>
        <w:t>R</w:t>
      </w:r>
      <w:r w:rsidRPr="002648FD">
        <w:t xml:space="preserve"> to formate</w:t>
      </w:r>
      <w:r w:rsidR="007429FF">
        <w:t xml:space="preserve">: (i) </w:t>
      </w:r>
      <w:r w:rsidRPr="002648FD">
        <w:t xml:space="preserve">it </w:t>
      </w:r>
      <w:r>
        <w:t>is used</w:t>
      </w:r>
      <w:r w:rsidRPr="002648FD">
        <w:t xml:space="preserve"> as a reactant</w:t>
      </w:r>
      <w:r w:rsidR="007429FF">
        <w:t xml:space="preserve"> and (ii)</w:t>
      </w:r>
      <w:r w:rsidRPr="002648FD">
        <w:t xml:space="preserve"> it </w:t>
      </w:r>
      <w:r>
        <w:t>ensures</w:t>
      </w:r>
      <w:r w:rsidRPr="002648FD">
        <w:t xml:space="preserve"> operational stability by facilitating the dissolution and removal of locally formed </w:t>
      </w:r>
      <w:r w:rsidR="003D169E">
        <w:t>(bi)</w:t>
      </w:r>
      <w:r w:rsidRPr="002648FD">
        <w:t>carbonate salts</w:t>
      </w:r>
      <w:r>
        <w:t xml:space="preserve"> (reaction between formed OH</w:t>
      </w:r>
      <w:r w:rsidRPr="002648FD">
        <w:rPr>
          <w:vertAlign w:val="superscript"/>
        </w:rPr>
        <w:t>−</w:t>
      </w:r>
      <w:r>
        <w:t xml:space="preserve"> and CO</w:t>
      </w:r>
      <w:r w:rsidRPr="002648FD">
        <w:rPr>
          <w:vertAlign w:val="subscript"/>
        </w:rPr>
        <w:t>2</w:t>
      </w:r>
      <w:r>
        <w:t>)</w:t>
      </w:r>
      <w:r w:rsidRPr="002648FD">
        <w:t xml:space="preserve"> from the</w:t>
      </w:r>
      <w:r w:rsidR="003D169E">
        <w:t xml:space="preserve"> </w:t>
      </w:r>
      <w:r w:rsidRPr="002648FD">
        <w:t xml:space="preserve">catalyst layer and flow fields. Water </w:t>
      </w:r>
      <w:r>
        <w:t>is</w:t>
      </w:r>
      <w:r w:rsidRPr="002648FD">
        <w:t xml:space="preserve"> introduced</w:t>
      </w:r>
      <w:r>
        <w:t xml:space="preserve"> </w:t>
      </w:r>
      <w:r w:rsidRPr="002648FD">
        <w:t>through direct water injection (DWI) into the CO</w:t>
      </w:r>
      <w:r w:rsidRPr="002648FD">
        <w:rPr>
          <w:vertAlign w:val="subscript"/>
        </w:rPr>
        <w:t>2</w:t>
      </w:r>
      <w:r w:rsidRPr="002648FD">
        <w:t xml:space="preserve"> feed stream</w:t>
      </w:r>
      <w:r>
        <w:t xml:space="preserve"> and</w:t>
      </w:r>
      <w:r w:rsidR="00DB7E2E">
        <w:t>,</w:t>
      </w:r>
      <w:r w:rsidRPr="002648FD">
        <w:t xml:space="preserve"> </w:t>
      </w:r>
      <w:r w:rsidR="00DB7E2E">
        <w:t>via</w:t>
      </w:r>
      <w:r w:rsidRPr="002648FD">
        <w:t xml:space="preserve"> </w:t>
      </w:r>
      <w:r w:rsidR="00DB7E2E" w:rsidRPr="002648FD">
        <w:t>electro-osmotic drag associated with migrating cations</w:t>
      </w:r>
      <w:r w:rsidR="00DB7E2E">
        <w:t xml:space="preserve"> </w:t>
      </w:r>
      <w:r w:rsidRPr="002648FD">
        <w:t>across the Nafion cation exchange membrane (CEM). Understanding these coupled water transport processes is critical for controlling formate production, mitigating salt accumulation, and preventing electrode flooding or dehydration.</w:t>
      </w:r>
    </w:p>
    <w:p w14:paraId="2AA788FD" w14:textId="38E639F1" w:rsidR="002648FD" w:rsidRPr="002648FD" w:rsidRDefault="002648FD" w:rsidP="002648FD">
      <w:pPr>
        <w:jc w:val="both"/>
      </w:pPr>
      <w:r w:rsidRPr="002648FD">
        <w:t>To achieve a deeper understanding of these phenomena, cross-sectional neutron imaging was employed</w:t>
      </w:r>
      <w:r w:rsidR="007429FF">
        <w:t xml:space="preserve"> as an </w:t>
      </w:r>
      <w:r w:rsidR="007429FF" w:rsidRPr="007429FF">
        <w:rPr>
          <w:i/>
          <w:iCs/>
        </w:rPr>
        <w:t>operando</w:t>
      </w:r>
      <w:r w:rsidR="007429FF">
        <w:t xml:space="preserve"> technique</w:t>
      </w:r>
      <w:r w:rsidRPr="002648FD">
        <w:t xml:space="preserve"> to visualize and quantify water transport within</w:t>
      </w:r>
      <w:r w:rsidR="00B330DD">
        <w:t xml:space="preserve"> </w:t>
      </w:r>
      <w:r w:rsidR="00B330DD" w:rsidRPr="002648FD">
        <w:t>the membrane electrode assembly (MEA)</w:t>
      </w:r>
      <w:r w:rsidR="00B330DD">
        <w:t xml:space="preserve"> of</w:t>
      </w:r>
      <w:r w:rsidRPr="002648FD">
        <w:t xml:space="preserve"> a</w:t>
      </w:r>
      <w:r w:rsidR="003D169E">
        <w:t xml:space="preserve"> </w:t>
      </w:r>
      <w:r w:rsidRPr="002648FD">
        <w:t>zero-gap CO</w:t>
      </w:r>
      <w:r w:rsidRPr="007429FF">
        <w:rPr>
          <w:vertAlign w:val="subscript"/>
        </w:rPr>
        <w:t>2</w:t>
      </w:r>
      <w:r w:rsidRPr="002648FD">
        <w:t xml:space="preserve"> electrolyzer under </w:t>
      </w:r>
      <w:r w:rsidR="007429FF">
        <w:t>industrially relevant</w:t>
      </w:r>
      <w:r w:rsidRPr="002648FD">
        <w:t xml:space="preserve"> operating conditions.</w:t>
      </w:r>
      <w:r w:rsidR="00B330DD">
        <w:t xml:space="preserve"> </w:t>
      </w:r>
      <w:r w:rsidRPr="002648FD">
        <w:t>Experiments were conducted at the ICON beamline</w:t>
      </w:r>
      <w:r w:rsidR="00DB7E2E">
        <w:t xml:space="preserve"> (PSI)</w:t>
      </w:r>
      <w:r w:rsidRPr="002648FD">
        <w:t xml:space="preserve"> using a custom-designed electrolyzer optimized for neutron transparency.</w:t>
      </w:r>
      <w:r w:rsidR="007429FF">
        <w:t xml:space="preserve"> </w:t>
      </w:r>
      <w:r w:rsidRPr="002648FD">
        <w:t xml:space="preserve">The electrolyzer was systematically investigated under steady-state </w:t>
      </w:r>
      <w:r w:rsidR="003D169E">
        <w:t>conditions</w:t>
      </w:r>
      <w:r w:rsidRPr="002648FD">
        <w:t xml:space="preserve"> at current densities from 0 to</w:t>
      </w:r>
      <w:r w:rsidR="00DB7E2E">
        <w:t xml:space="preserve"> </w:t>
      </w:r>
      <w:r w:rsidRPr="002648FD">
        <w:t xml:space="preserve">300 </w:t>
      </w:r>
      <w:r w:rsidR="007429FF">
        <w:t>mA.cm</w:t>
      </w:r>
      <w:r w:rsidR="007429FF" w:rsidRPr="007429FF">
        <w:rPr>
          <w:vertAlign w:val="superscript"/>
        </w:rPr>
        <w:t>-2</w:t>
      </w:r>
      <w:r w:rsidRPr="002648FD">
        <w:t>. The neutron imaging results revealed a</w:t>
      </w:r>
      <w:r w:rsidR="003D169E">
        <w:t xml:space="preserve">n </w:t>
      </w:r>
      <w:r w:rsidRPr="002648FD">
        <w:t xml:space="preserve">increase in water crossover with increasing current density, confirming the role of electro-osmotic drag in transporting water across the CEM toward the cathode. Additional investigations examined the influence of membrane thickness using </w:t>
      </w:r>
      <w:r w:rsidR="003D169E">
        <w:t xml:space="preserve">various </w:t>
      </w:r>
      <w:r w:rsidRPr="002648FD">
        <w:t xml:space="preserve">Nafion membranes </w:t>
      </w:r>
      <w:r w:rsidR="003D169E">
        <w:t>(</w:t>
      </w:r>
      <w:r w:rsidR="003D169E" w:rsidRPr="002648FD">
        <w:t>thicknes</w:t>
      </w:r>
      <w:r w:rsidR="003D169E">
        <w:t xml:space="preserve">s: </w:t>
      </w:r>
      <w:r w:rsidRPr="002648FD">
        <w:t>25, 50, and 183 μm</w:t>
      </w:r>
      <w:r w:rsidR="003D169E">
        <w:t>)</w:t>
      </w:r>
      <w:r w:rsidRPr="002648FD">
        <w:t>. Thinner membranes exhibited higher water transport rates and improved resistance against dehydration during extended operation, highlighting the critical interplay between membrane properties and electrolyzer stability.</w:t>
      </w:r>
      <w:r w:rsidR="007429FF">
        <w:t xml:space="preserve"> </w:t>
      </w:r>
      <w:r w:rsidRPr="002648FD">
        <w:t xml:space="preserve">The influence of flow field </w:t>
      </w:r>
      <w:r w:rsidR="003D169E">
        <w:t>design (</w:t>
      </w:r>
      <w:r w:rsidR="003D169E" w:rsidRPr="002648FD">
        <w:t>serpentine, interdigitated, and parallel</w:t>
      </w:r>
      <w:r w:rsidR="003D169E">
        <w:t>)</w:t>
      </w:r>
      <w:r w:rsidRPr="002648FD">
        <w:t xml:space="preserve"> on water management was further evaluated. While the overall water transport across the membrane remained comparable, the flow field </w:t>
      </w:r>
      <w:r w:rsidR="003D169E">
        <w:t>design</w:t>
      </w:r>
      <w:r w:rsidRPr="002648FD">
        <w:t xml:space="preserve"> strongly affected the spatial distribution of injected water within the cathode compartment. The serpentine design promoted enhanced hydration in the upper regions of the electrode, whereas interdigitated and parallel configurations resulted in increased water accumulation near the bottom sections, illustrating the importance of flow distribution in mitigating local dry-out and salt deposition.</w:t>
      </w:r>
      <w:r w:rsidR="00B330DD">
        <w:t xml:space="preserve"> </w:t>
      </w:r>
      <w:r w:rsidRPr="002648FD">
        <w:t xml:space="preserve">Overall, this work provides new </w:t>
      </w:r>
      <w:r w:rsidRPr="007429FF">
        <w:rPr>
          <w:i/>
          <w:iCs/>
        </w:rPr>
        <w:t>operando</w:t>
      </w:r>
      <w:r w:rsidRPr="002648FD">
        <w:t xml:space="preserve"> insights into the water </w:t>
      </w:r>
      <w:r w:rsidR="003D169E">
        <w:t>management</w:t>
      </w:r>
      <w:r w:rsidRPr="002648FD">
        <w:t xml:space="preserve"> governing the perf</w:t>
      </w:r>
      <w:r w:rsidR="003D169E">
        <w:t>ormance</w:t>
      </w:r>
      <w:r w:rsidRPr="002648FD">
        <w:t xml:space="preserve">, thereby advancing the rational design of stable </w:t>
      </w:r>
      <w:r w:rsidR="003D169E">
        <w:t>zero-gap</w:t>
      </w:r>
      <w:r w:rsidRPr="002648FD">
        <w:t xml:space="preserve"> CO</w:t>
      </w:r>
      <w:r w:rsidRPr="007429FF">
        <w:rPr>
          <w:vertAlign w:val="subscript"/>
        </w:rPr>
        <w:t>2</w:t>
      </w:r>
      <w:r w:rsidRPr="002648FD">
        <w:t xml:space="preserve"> electrolyzers.</w:t>
      </w:r>
    </w:p>
    <w:p w14:paraId="188A4642" w14:textId="77777777" w:rsidR="005C10DF" w:rsidRPr="002648FD" w:rsidRDefault="005C10DF" w:rsidP="00E0716D">
      <w:pPr>
        <w:jc w:val="both"/>
      </w:pPr>
    </w:p>
    <w:p w14:paraId="6423C078" w14:textId="451B032D" w:rsidR="005C10DF" w:rsidRDefault="007429FF" w:rsidP="00E0716D">
      <w:pPr>
        <w:jc w:val="both"/>
      </w:pPr>
      <w:r>
        <w:t>[1]</w:t>
      </w:r>
      <w:r w:rsidR="00DB7E2E">
        <w:t xml:space="preserve"> </w:t>
      </w:r>
      <w:r w:rsidR="00B330DD" w:rsidRPr="00B330DD">
        <w:t xml:space="preserve">Duarte M, </w:t>
      </w:r>
      <w:r w:rsidR="00B330DD" w:rsidRPr="00B330DD">
        <w:rPr>
          <w:i/>
          <w:iCs/>
        </w:rPr>
        <w:t>et al.</w:t>
      </w:r>
      <w:r w:rsidR="00B330DD">
        <w:t xml:space="preserve"> ‘</w:t>
      </w:r>
      <w:r w:rsidR="00B330DD" w:rsidRPr="00B330DD">
        <w:t>The importance of target product engineering for long-term operation of CO</w:t>
      </w:r>
      <w:r w:rsidR="00B330DD" w:rsidRPr="00B330DD">
        <w:rPr>
          <w:vertAlign w:val="subscript"/>
        </w:rPr>
        <w:t>2</w:t>
      </w:r>
      <w:r w:rsidR="00B330DD" w:rsidRPr="00B330DD">
        <w:t xml:space="preserve"> zero-gap electrolysers.</w:t>
      </w:r>
      <w:r w:rsidR="00B330DD">
        <w:t>’</w:t>
      </w:r>
      <w:r w:rsidR="00B330DD" w:rsidRPr="00B330DD">
        <w:t xml:space="preserve"> Journal of Environmental Chemical Engineering. 2022 Jun;10(3):107836.</w:t>
      </w:r>
    </w:p>
    <w:p w14:paraId="53692B9D" w14:textId="3BCF47AB" w:rsidR="00E0716D" w:rsidRDefault="007429FF" w:rsidP="00E0716D">
      <w:pPr>
        <w:jc w:val="both"/>
      </w:pPr>
      <w:r>
        <w:t>[2]</w:t>
      </w:r>
      <w:r w:rsidR="00DB7E2E">
        <w:t xml:space="preserve"> </w:t>
      </w:r>
      <w:r w:rsidR="00B330DD" w:rsidRPr="00DB7E2E">
        <w:t xml:space="preserve">Zhang Z, </w:t>
      </w:r>
      <w:r w:rsidR="00B330DD" w:rsidRPr="00B330DD">
        <w:rPr>
          <w:i/>
          <w:iCs/>
        </w:rPr>
        <w:t>et al.</w:t>
      </w:r>
      <w:r w:rsidR="00B330DD">
        <w:t xml:space="preserve"> ‘</w:t>
      </w:r>
      <w:r w:rsidR="00B330DD" w:rsidRPr="00DB7E2E">
        <w:t>Salt Precipitation in Zero‐Gap CO</w:t>
      </w:r>
      <w:r w:rsidR="00B330DD" w:rsidRPr="00DB7E2E">
        <w:rPr>
          <w:vertAlign w:val="subscript"/>
        </w:rPr>
        <w:t>2</w:t>
      </w:r>
      <w:r w:rsidR="00B330DD" w:rsidRPr="00DB7E2E">
        <w:t> Membrane Electrode Assemblies: Strategies for Long‐Term Operation.</w:t>
      </w:r>
      <w:r w:rsidR="00B330DD">
        <w:t>’</w:t>
      </w:r>
      <w:r w:rsidR="00B330DD" w:rsidRPr="00DB7E2E">
        <w:t xml:space="preserve"> ChemElectroChem. 2026 Jan;13(2).</w:t>
      </w:r>
    </w:p>
    <w:sectPr w:rsidR="00E0716D" w:rsidSect="00F97641">
      <w:footnotePr>
        <w:numRestart w:val="eachSect"/>
      </w:footnotePr>
      <w:endnotePr>
        <w:numFmt w:val="decimal"/>
      </w:endnotePr>
      <w:pgSz w:w="11907" w:h="16840" w:code="9"/>
      <w:pgMar w:top="1701" w:right="1701" w:bottom="1701" w:left="1701" w:header="567" w:footer="720"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MS Mincho">
    <w:panose1 w:val="02020609040205080304"/>
    <w:charset w:val="80"/>
    <w:family w:val="modern"/>
    <w:pitch w:val="fixed"/>
    <w:sig w:usb0="E00002FF" w:usb1="6AC7FDFB" w:usb2="08000012" w:usb3="00000000" w:csb0="0002009F" w:csb1="00000000"/>
  </w:font>
  <w:font w:name="Cambria">
    <w:panose1 w:val="02040503050406030204"/>
    <w:charset w:val="00"/>
    <w:family w:val="roman"/>
    <w:pitch w:val="variable"/>
    <w:sig w:usb0="E00006FF" w:usb1="420024FF" w:usb2="02000000" w:usb3="00000000" w:csb0="0000019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60"/>
  <w:bordersDoNotSurroundHeader/>
  <w:bordersDoNotSurroundFooter/>
  <w:proofState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720"/>
  <w:hyphenationZone w:val="425"/>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Sect"/>
  </w:footnotePr>
  <w:endnotePr>
    <w:numFmt w:val="decimal"/>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325004"/>
    <w:rsid w:val="00041EFD"/>
    <w:rsid w:val="000C3779"/>
    <w:rsid w:val="002648FD"/>
    <w:rsid w:val="00325004"/>
    <w:rsid w:val="003D169E"/>
    <w:rsid w:val="004213FB"/>
    <w:rsid w:val="00441205"/>
    <w:rsid w:val="00477AD5"/>
    <w:rsid w:val="004A32CD"/>
    <w:rsid w:val="00536366"/>
    <w:rsid w:val="005C10DF"/>
    <w:rsid w:val="00611680"/>
    <w:rsid w:val="00685C1A"/>
    <w:rsid w:val="007429FF"/>
    <w:rsid w:val="007E1FFE"/>
    <w:rsid w:val="008B16F8"/>
    <w:rsid w:val="008E0E52"/>
    <w:rsid w:val="00A948CD"/>
    <w:rsid w:val="00AC7CE6"/>
    <w:rsid w:val="00B330DD"/>
    <w:rsid w:val="00DB7E2E"/>
    <w:rsid w:val="00E0716D"/>
    <w:rsid w:val="00EA4892"/>
    <w:rsid w:val="00F97641"/>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doNotAutoCompressPictures/>
  <w:shapeDefaults>
    <o:shapedefaults v:ext="edit" spidmax="1026"/>
    <o:shapelayout v:ext="edit">
      <o:idmap v:ext="edit" data="1"/>
    </o:shapelayout>
  </w:shapeDefaults>
  <w:decimalSymbol w:val=","/>
  <w:listSeparator w:val=";"/>
  <w14:docId w14:val="20C07621"/>
  <w14:defaultImageDpi w14:val="300"/>
  <w15:docId w15:val="{88402489-39D6-46C9-88B6-12288F07639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E0716D"/>
    <w:pPr>
      <w:widowControl w:val="0"/>
    </w:pPr>
    <w:rPr>
      <w:snapToGrid w:val="0"/>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image" Target="media/image1.png"/></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28</TotalTime>
  <Pages>1</Pages>
  <Words>646</Words>
  <Characters>3554</Characters>
  <Application>Microsoft Office Word</Application>
  <DocSecurity>0</DocSecurity>
  <Lines>29</Lines>
  <Paragraphs>8</Paragraphs>
  <ScaleCrop>false</ScaleCrop>
  <HeadingPairs>
    <vt:vector size="2" baseType="variant">
      <vt:variant>
        <vt:lpstr>Title</vt:lpstr>
      </vt:variant>
      <vt:variant>
        <vt:i4>1</vt:i4>
      </vt:variant>
    </vt:vector>
  </HeadingPairs>
  <TitlesOfParts>
    <vt:vector size="1" baseType="lpstr">
      <vt:lpstr>Title</vt:lpstr>
    </vt:vector>
  </TitlesOfParts>
  <Company>Electrochemical Society</Company>
  <LinksUpToDate>false</LinksUpToDate>
  <CharactersWithSpaces>4192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Title</dc:title>
  <dc:subject/>
  <dc:creator>Electrochemical</dc:creator>
  <cp:keywords/>
  <cp:lastModifiedBy>Järi Van den Hoek</cp:lastModifiedBy>
  <cp:revision>8</cp:revision>
  <cp:lastPrinted>2013-10-21T12:07:00Z</cp:lastPrinted>
  <dcterms:created xsi:type="dcterms:W3CDTF">2026-05-29T09:32:00Z</dcterms:created>
  <dcterms:modified xsi:type="dcterms:W3CDTF">2026-05-31T15:03:00Z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GrammarlyDocumentId">
    <vt:lpwstr>2495fce3-e2b8-4bd4-a187-59ec610800c2</vt:lpwstr>
  </property>
</Properties>
</file>