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DA9761" w14:textId="77777777" w:rsidR="002F2CD0" w:rsidRPr="00DD11D1" w:rsidRDefault="00000000">
      <w:pPr>
        <w:jc w:val="center"/>
        <w:rPr>
          <w:lang w:val="en-US"/>
        </w:rPr>
      </w:pPr>
      <w:r w:rsidRPr="00DD11D1">
        <w:rPr>
          <w:b/>
          <w:bCs/>
          <w:sz w:val="28"/>
          <w:szCs w:val="28"/>
          <w:lang w:val="en-US"/>
        </w:rPr>
        <w:t>Single-Step Electropolymerization of a Poly(Toluidine Blue)/Graphene Quantum Dot Nanocomposite in Binary and Ternary Natural Deep Eutectic Solvents for Nitrite Sensing</w:t>
      </w:r>
    </w:p>
    <w:p w14:paraId="07EE1B64" w14:textId="77777777" w:rsidR="002F2CD0" w:rsidRPr="00DD11D1" w:rsidRDefault="002F2CD0">
      <w:pPr>
        <w:jc w:val="center"/>
        <w:rPr>
          <w:lang w:val="en-US"/>
        </w:rPr>
      </w:pPr>
    </w:p>
    <w:p w14:paraId="549D72D0" w14:textId="77777777" w:rsidR="002F2CD0" w:rsidRDefault="00000000">
      <w:pPr>
        <w:jc w:val="center"/>
      </w:pPr>
      <w:r>
        <w:rPr>
          <w:u w:val="single"/>
        </w:rPr>
        <w:t>Beatriz A. Fernandes</w:t>
      </w:r>
      <w:r>
        <w:t>, Rafael M. Buoro</w:t>
      </w:r>
    </w:p>
    <w:p w14:paraId="374A8B33" w14:textId="77777777" w:rsidR="002F2CD0" w:rsidRDefault="00000000">
      <w:pPr>
        <w:jc w:val="center"/>
      </w:pPr>
      <w:r>
        <w:rPr>
          <w:i/>
          <w:iCs/>
        </w:rPr>
        <w:t>Departamento de Química e Física Molecular, Instituto de Química de São Carlos, Universidade de São Paulo, 13566-590 São Carlos, SP, Brasil</w:t>
      </w:r>
    </w:p>
    <w:p w14:paraId="41CB041C" w14:textId="77777777" w:rsidR="002F2CD0" w:rsidRPr="00DD11D1" w:rsidRDefault="00000000">
      <w:pPr>
        <w:jc w:val="center"/>
        <w:rPr>
          <w:lang w:val="en-US"/>
        </w:rPr>
      </w:pPr>
      <w:r w:rsidRPr="00DD11D1">
        <w:rPr>
          <w:i/>
          <w:iCs/>
          <w:lang w:val="en-US"/>
        </w:rPr>
        <w:t>rafbuoro@iqsc.usp.br</w:t>
      </w:r>
    </w:p>
    <w:p w14:paraId="2469852F" w14:textId="77777777" w:rsidR="002F2CD0" w:rsidRPr="00DD11D1" w:rsidRDefault="002F2CD0">
      <w:pPr>
        <w:rPr>
          <w:lang w:val="en-US"/>
        </w:rPr>
      </w:pPr>
    </w:p>
    <w:p w14:paraId="7F271BD6" w14:textId="1F3B0B54" w:rsidR="002F2CD0" w:rsidRPr="00C160A4" w:rsidRDefault="00000000">
      <w:pPr>
        <w:jc w:val="both"/>
        <w:rPr>
          <w:lang w:val="en-US"/>
        </w:rPr>
      </w:pPr>
      <w:r w:rsidRPr="00DD11D1">
        <w:rPr>
          <w:lang w:val="en-US"/>
        </w:rPr>
        <w:t xml:space="preserve">Toluidine blue (TB) was electropolymerized in binary and ternary natural deep eutectic solvents (NADES) by cyclic voltammetry, producing poly(TB)/graphene quantum dot (GQD) nanocomposite films on glassy carbon electrodes (GCE) in a single step. Binary NADES were prepared from choline chloride (ChCl) combined with acetic acid, lactic acid, D-glucose, or fructose; ternary NADES (TNADES) were obtained by mixing binary components at fixed volumetric ratios or by direct mixing of the three individual constituents. NADES composition had a strong effect on film growth kinetics and peak definition [1,2]. </w:t>
      </w:r>
      <w:r w:rsidR="00C160A4">
        <w:rPr>
          <w:lang w:val="en-US"/>
        </w:rPr>
        <w:t>Carboxylic acid-based systems produced three well-resolved redox couples, a consequence of the proton-coupled electron transfer (PCET) character of TB and the greater</w:t>
      </w:r>
      <w:r w:rsidRPr="00C160A4">
        <w:rPr>
          <w:lang w:val="en-US"/>
        </w:rPr>
        <w:t xml:space="preserve"> proton availability in those media. Sugar-based systems gave fewer, broader redox features due to elevated viscosity and slow ion transport. Among all formulations, TNADES 12 (ChCl:</w:t>
      </w:r>
      <w:r w:rsidR="00C160A4">
        <w:rPr>
          <w:lang w:val="en-US"/>
        </w:rPr>
        <w:t xml:space="preserve"> </w:t>
      </w:r>
      <w:r w:rsidRPr="00C160A4">
        <w:rPr>
          <w:lang w:val="en-US"/>
        </w:rPr>
        <w:t>acetic acid:</w:t>
      </w:r>
      <w:r w:rsidR="00C160A4">
        <w:rPr>
          <w:lang w:val="en-US"/>
        </w:rPr>
        <w:t xml:space="preserve"> </w:t>
      </w:r>
      <w:r w:rsidRPr="00C160A4">
        <w:rPr>
          <w:lang w:val="en-US"/>
        </w:rPr>
        <w:t xml:space="preserve">glucose, direct mixing) produced the best electropolymerization profile: lower viscosity, well-defined redox peaks, and higher current density. GQDs synthesized directly in TNADES were smaller (2.1 ± 0.55 nm vs. 3.4 ± 0.40 nm for aqueous GQDs) and more uniform, with a narrower size distribution and a dominant single emission band in photoluminescence. Electrochemical impedance spectroscopy showed that GQD incorporation reduced charge-transfer resistance and increased electroactive surface area [3]. The (PTB/GQD)TNADES 12/GCE sensor had a pH-dependent oxidation potential consistent with a one-electron, one-proton PCET process (slope: 54.9 mV/pH, R² = 0.996) and adsorption-controlled kinetics. In phosphate buffer (pH 4.0), differential pulse voltammetry gave two linear ranges for nitrite: 2–6 µmol L⁻¹ and 8–18 µmol L⁻¹, with a detection limit of 0.38 µmol L⁻¹ [4]. Repeatability was 3.3% RSD (n = 10), electrode-to-electrode reproducibility was 1.1% RSD (n = 3), and the response remained at 102% of its initial value after seven days. Recoveries in tap water, drinking water, orange juice, and powdered milk ranged from 96 to 108%. Ternary NADES simultaneously controlled </w:t>
      </w:r>
      <w:r w:rsidR="00C160A4">
        <w:rPr>
          <w:lang w:val="en-US"/>
        </w:rPr>
        <w:t xml:space="preserve">the stability of radical intermediates during electropolymerization and directed GQD size and morphology, thereby </w:t>
      </w:r>
      <w:r w:rsidRPr="00C160A4">
        <w:rPr>
          <w:lang w:val="en-US"/>
        </w:rPr>
        <w:t>removing the need for separate film and nanomaterial preparation steps.</w:t>
      </w:r>
    </w:p>
    <w:p w14:paraId="1A63D0B0" w14:textId="77777777" w:rsidR="002F2CD0" w:rsidRPr="00C160A4" w:rsidRDefault="002F2CD0">
      <w:pPr>
        <w:rPr>
          <w:lang w:val="en-US"/>
        </w:rPr>
      </w:pPr>
    </w:p>
    <w:p w14:paraId="0249B1CE" w14:textId="77777777" w:rsidR="002F2CD0" w:rsidRDefault="00000000">
      <w:proofErr w:type="spellStart"/>
      <w:r>
        <w:rPr>
          <w:b/>
          <w:bCs/>
        </w:rPr>
        <w:t>References</w:t>
      </w:r>
      <w:proofErr w:type="spellEnd"/>
    </w:p>
    <w:p w14:paraId="6036D259" w14:textId="77777777" w:rsidR="002F2CD0" w:rsidRDefault="00000000">
      <w:pPr>
        <w:ind w:left="360" w:hanging="360"/>
        <w:jc w:val="both"/>
      </w:pPr>
      <w:r>
        <w:t xml:space="preserve">[1] Buoro, R. M.; Almeida, J. M. S.; Brett, C. M. A. </w:t>
      </w:r>
      <w:proofErr w:type="spellStart"/>
      <w:r>
        <w:rPr>
          <w:i/>
          <w:iCs/>
        </w:rPr>
        <w:t>Electrochimica</w:t>
      </w:r>
      <w:proofErr w:type="spellEnd"/>
      <w:r>
        <w:rPr>
          <w:i/>
          <w:iCs/>
        </w:rPr>
        <w:t xml:space="preserve"> Acta</w:t>
      </w:r>
      <w:r>
        <w:t xml:space="preserve"> 2024, 490, 144305.</w:t>
      </w:r>
    </w:p>
    <w:p w14:paraId="3230881C" w14:textId="77777777" w:rsidR="002F2CD0" w:rsidRPr="00C160A4" w:rsidRDefault="00000000">
      <w:pPr>
        <w:ind w:left="360" w:hanging="360"/>
        <w:jc w:val="both"/>
        <w:rPr>
          <w:lang w:val="en-US"/>
        </w:rPr>
      </w:pPr>
      <w:r w:rsidRPr="00C160A4">
        <w:rPr>
          <w:lang w:val="en-US"/>
        </w:rPr>
        <w:t xml:space="preserve">[2] Dalkiran, B.; Brett, C. M. A. </w:t>
      </w:r>
      <w:proofErr w:type="spellStart"/>
      <w:r w:rsidRPr="00C160A4">
        <w:rPr>
          <w:i/>
          <w:iCs/>
          <w:lang w:val="en-US"/>
        </w:rPr>
        <w:t>Microchim</w:t>
      </w:r>
      <w:proofErr w:type="spellEnd"/>
      <w:r w:rsidRPr="00C160A4">
        <w:rPr>
          <w:i/>
          <w:iCs/>
          <w:lang w:val="en-US"/>
        </w:rPr>
        <w:t>. Acta</w:t>
      </w:r>
      <w:r w:rsidRPr="00C160A4">
        <w:rPr>
          <w:lang w:val="en-US"/>
        </w:rPr>
        <w:t xml:space="preserve"> 2021, 188, 178.</w:t>
      </w:r>
    </w:p>
    <w:p w14:paraId="0AE27A9C" w14:textId="77777777" w:rsidR="002F2CD0" w:rsidRPr="00C160A4" w:rsidRDefault="00000000">
      <w:pPr>
        <w:ind w:left="360" w:hanging="360"/>
        <w:jc w:val="both"/>
        <w:rPr>
          <w:lang w:val="en-US"/>
        </w:rPr>
      </w:pPr>
      <w:r w:rsidRPr="00C160A4">
        <w:rPr>
          <w:lang w:val="en-US"/>
        </w:rPr>
        <w:t xml:space="preserve">[3] Wilczewska, P. et al. </w:t>
      </w:r>
      <w:r>
        <w:rPr>
          <w:i/>
          <w:iCs/>
        </w:rPr>
        <w:t xml:space="preserve">J. </w:t>
      </w:r>
      <w:proofErr w:type="spellStart"/>
      <w:r>
        <w:rPr>
          <w:i/>
          <w:iCs/>
        </w:rPr>
        <w:t>Electroanal</w:t>
      </w:r>
      <w:proofErr w:type="spellEnd"/>
      <w:r>
        <w:rPr>
          <w:i/>
          <w:iCs/>
        </w:rPr>
        <w:t xml:space="preserve">. </w:t>
      </w:r>
      <w:r w:rsidRPr="00C160A4">
        <w:rPr>
          <w:i/>
          <w:iCs/>
          <w:lang w:val="en-US"/>
        </w:rPr>
        <w:t>Chem.</w:t>
      </w:r>
      <w:r w:rsidRPr="00C160A4">
        <w:rPr>
          <w:lang w:val="en-US"/>
        </w:rPr>
        <w:t xml:space="preserve"> 2022, 923, 116767.</w:t>
      </w:r>
    </w:p>
    <w:p w14:paraId="2D865D62" w14:textId="77777777" w:rsidR="002F2CD0" w:rsidRDefault="00000000">
      <w:pPr>
        <w:ind w:left="360" w:hanging="360"/>
        <w:jc w:val="both"/>
      </w:pPr>
      <w:r w:rsidRPr="00C160A4">
        <w:rPr>
          <w:lang w:val="en-US"/>
        </w:rPr>
        <w:t xml:space="preserve">[4] Yang, C.; Xu, J.; Hu, S. </w:t>
      </w:r>
      <w:r w:rsidRPr="00C160A4">
        <w:rPr>
          <w:i/>
          <w:iCs/>
          <w:lang w:val="en-US"/>
        </w:rPr>
        <w:t xml:space="preserve">J. Solid State </w:t>
      </w:r>
      <w:proofErr w:type="spellStart"/>
      <w:r w:rsidRPr="00C160A4">
        <w:rPr>
          <w:i/>
          <w:iCs/>
          <w:lang w:val="en-US"/>
        </w:rPr>
        <w:t>Electrochem</w:t>
      </w:r>
      <w:proofErr w:type="spellEnd"/>
      <w:r w:rsidRPr="00C160A4">
        <w:rPr>
          <w:i/>
          <w:iCs/>
          <w:lang w:val="en-US"/>
        </w:rPr>
        <w:t>.</w:t>
      </w:r>
      <w:r w:rsidRPr="00C160A4">
        <w:rPr>
          <w:lang w:val="en-US"/>
        </w:rPr>
        <w:t xml:space="preserve"> </w:t>
      </w:r>
      <w:r>
        <w:t>2007, 11, 514–520.</w:t>
      </w:r>
    </w:p>
    <w:sectPr w:rsidR="002F2CD0">
      <w:pgSz w:w="11907" w:h="16840"/>
      <w:pgMar w:top="1701" w:right="1701" w:bottom="1701" w:left="1701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7D11751"/>
    <w:multiLevelType w:val="hybridMultilevel"/>
    <w:tmpl w:val="65D05648"/>
    <w:lvl w:ilvl="0" w:tplc="9D2AFC88">
      <w:start w:val="1"/>
      <w:numFmt w:val="bullet"/>
      <w:lvlText w:val="●"/>
      <w:lvlJc w:val="left"/>
      <w:pPr>
        <w:ind w:left="720" w:hanging="360"/>
      </w:pPr>
    </w:lvl>
    <w:lvl w:ilvl="1" w:tplc="ABEE53D2">
      <w:start w:val="1"/>
      <w:numFmt w:val="bullet"/>
      <w:lvlText w:val="○"/>
      <w:lvlJc w:val="left"/>
      <w:pPr>
        <w:ind w:left="1440" w:hanging="360"/>
      </w:pPr>
    </w:lvl>
    <w:lvl w:ilvl="2" w:tplc="36386490">
      <w:start w:val="1"/>
      <w:numFmt w:val="bullet"/>
      <w:lvlText w:val="■"/>
      <w:lvlJc w:val="left"/>
      <w:pPr>
        <w:ind w:left="2160" w:hanging="360"/>
      </w:pPr>
    </w:lvl>
    <w:lvl w:ilvl="3" w:tplc="7F06B1E4">
      <w:start w:val="1"/>
      <w:numFmt w:val="bullet"/>
      <w:lvlText w:val="●"/>
      <w:lvlJc w:val="left"/>
      <w:pPr>
        <w:ind w:left="2880" w:hanging="360"/>
      </w:pPr>
    </w:lvl>
    <w:lvl w:ilvl="4" w:tplc="E794BF3A">
      <w:start w:val="1"/>
      <w:numFmt w:val="bullet"/>
      <w:lvlText w:val="○"/>
      <w:lvlJc w:val="left"/>
      <w:pPr>
        <w:ind w:left="3600" w:hanging="360"/>
      </w:pPr>
    </w:lvl>
    <w:lvl w:ilvl="5" w:tplc="9DDA213A">
      <w:start w:val="1"/>
      <w:numFmt w:val="bullet"/>
      <w:lvlText w:val="■"/>
      <w:lvlJc w:val="left"/>
      <w:pPr>
        <w:ind w:left="4320" w:hanging="360"/>
      </w:pPr>
    </w:lvl>
    <w:lvl w:ilvl="6" w:tplc="30384820">
      <w:start w:val="1"/>
      <w:numFmt w:val="bullet"/>
      <w:lvlText w:val="●"/>
      <w:lvlJc w:val="left"/>
      <w:pPr>
        <w:ind w:left="5040" w:hanging="360"/>
      </w:pPr>
    </w:lvl>
    <w:lvl w:ilvl="7" w:tplc="6DC452B0">
      <w:start w:val="1"/>
      <w:numFmt w:val="bullet"/>
      <w:lvlText w:val="●"/>
      <w:lvlJc w:val="left"/>
      <w:pPr>
        <w:ind w:left="5760" w:hanging="360"/>
      </w:pPr>
    </w:lvl>
    <w:lvl w:ilvl="8" w:tplc="7AFA45A0">
      <w:start w:val="1"/>
      <w:numFmt w:val="bullet"/>
      <w:lvlText w:val="●"/>
      <w:lvlJc w:val="left"/>
      <w:pPr>
        <w:ind w:left="6480" w:hanging="360"/>
      </w:pPr>
    </w:lvl>
  </w:abstractNum>
  <w:num w:numId="1" w16cid:durableId="1611088185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F2CD0"/>
    <w:rsid w:val="002F2CD0"/>
    <w:rsid w:val="00395B97"/>
    <w:rsid w:val="00C160A4"/>
    <w:rsid w:val="00DD11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648F8D"/>
  <w15:docId w15:val="{404F9AAA-1F73-4D20-A752-55FE7776DE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Ttulo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Ttulo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Ttulo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Ttulo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Ttulo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tulo">
    <w:name w:val="Title"/>
    <w:uiPriority w:val="10"/>
    <w:qFormat/>
    <w:rPr>
      <w:sz w:val="56"/>
      <w:szCs w:val="56"/>
    </w:rPr>
  </w:style>
  <w:style w:type="paragraph" w:customStyle="1" w:styleId="Forte1">
    <w:name w:val="Forte1"/>
    <w:qFormat/>
    <w:rPr>
      <w:b/>
      <w:bCs/>
    </w:rPr>
  </w:style>
  <w:style w:type="paragraph" w:styleId="PargrafodaLista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Refdenotaderodap">
    <w:name w:val="footnote reference"/>
    <w:uiPriority w:val="99"/>
    <w:semiHidden/>
    <w:unhideWhenUsed/>
    <w:rPr>
      <w:vertAlign w:val="superscript"/>
    </w:rPr>
  </w:style>
  <w:style w:type="paragraph" w:styleId="Textodenotaderodap">
    <w:name w:val="footnote text"/>
    <w:link w:val="TextodenotaderodapChar"/>
    <w:uiPriority w:val="99"/>
    <w:semiHidden/>
    <w:unhideWhenUsed/>
  </w:style>
  <w:style w:type="character" w:customStyle="1" w:styleId="TextodenotaderodapChar">
    <w:name w:val="Texto de nota de rodapé Char"/>
    <w:link w:val="Textodenotaderodap"/>
    <w:uiPriority w:val="99"/>
    <w:semiHidden/>
    <w:unhideWhenUsed/>
    <w:rPr>
      <w:sz w:val="20"/>
      <w:szCs w:val="20"/>
    </w:rPr>
  </w:style>
  <w:style w:type="character" w:styleId="Refdenotadefim">
    <w:name w:val="endnote reference"/>
    <w:uiPriority w:val="99"/>
    <w:semiHidden/>
    <w:unhideWhenUsed/>
    <w:rPr>
      <w:vertAlign w:val="superscript"/>
    </w:rPr>
  </w:style>
  <w:style w:type="paragraph" w:styleId="Textodenotadefim">
    <w:name w:val="endnote text"/>
    <w:link w:val="TextodenotadefimChar"/>
    <w:uiPriority w:val="99"/>
    <w:semiHidden/>
    <w:unhideWhenUsed/>
  </w:style>
  <w:style w:type="character" w:customStyle="1" w:styleId="TextodenotadefimChar">
    <w:name w:val="Texto de nota de fim Char"/>
    <w:link w:val="Textodenotadefim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502</Words>
  <Characters>2515</Characters>
  <Application>Microsoft Office Word</Application>
  <DocSecurity>0</DocSecurity>
  <Lines>36</Lines>
  <Paragraphs>1</Paragraphs>
  <ScaleCrop>false</ScaleCrop>
  <Company/>
  <LinksUpToDate>false</LinksUpToDate>
  <CharactersWithSpaces>3016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Beatriz Alves Fernandez</cp:lastModifiedBy>
  <cp:revision>3</cp:revision>
  <dcterms:created xsi:type="dcterms:W3CDTF">2026-06-01T11:36:00Z</dcterms:created>
  <dcterms:modified xsi:type="dcterms:W3CDTF">2026-06-01T11:37:00Z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7af550fa-8049-448f-a9e9-44f47bbfa7e7</vt:lpwstr>
  </property>
</Properties>
</file>