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5B644" w14:textId="2B171DCE" w:rsidR="002E047C" w:rsidRDefault="002E047C" w:rsidP="005B284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B2844">
        <w:rPr>
          <w:rFonts w:ascii="Times New Roman" w:hAnsi="Times New Roman" w:cs="Times New Roman"/>
          <w:b/>
          <w:bCs/>
          <w:sz w:val="28"/>
          <w:szCs w:val="28"/>
        </w:rPr>
        <w:t>U</w:t>
      </w:r>
      <w:r w:rsidR="00FF3A2F">
        <w:rPr>
          <w:rFonts w:ascii="Times New Roman" w:hAnsi="Times New Roman" w:cs="Times New Roman" w:hint="eastAsia"/>
          <w:b/>
          <w:bCs/>
          <w:sz w:val="28"/>
          <w:szCs w:val="28"/>
        </w:rPr>
        <w:t>l</w:t>
      </w:r>
      <w:r w:rsidRPr="005B2844">
        <w:rPr>
          <w:rFonts w:ascii="Times New Roman" w:hAnsi="Times New Roman" w:cs="Times New Roman"/>
          <w:b/>
          <w:bCs/>
          <w:sz w:val="28"/>
          <w:szCs w:val="28"/>
        </w:rPr>
        <w:t>tra-Thin Double-Sided Coated Quasi-Solid Electrolytes for Stable High-Loading NCM811 Lithium-Ion Batteries</w:t>
      </w:r>
    </w:p>
    <w:p w14:paraId="1E845827" w14:textId="77777777" w:rsidR="005B2844" w:rsidRPr="005B2844" w:rsidRDefault="005B2844" w:rsidP="005B284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6683C21" w14:textId="55302BD6" w:rsidR="0039382F" w:rsidRPr="005B2844" w:rsidRDefault="0039382F" w:rsidP="005B2844">
      <w:pPr>
        <w:jc w:val="center"/>
        <w:rPr>
          <w:rFonts w:ascii="Times New Roman" w:hAnsi="Times New Roman" w:cs="Times New Roman" w:hint="eastAsia"/>
          <w:sz w:val="20"/>
          <w:szCs w:val="20"/>
        </w:rPr>
      </w:pPr>
      <w:r w:rsidRPr="005B2844">
        <w:rPr>
          <w:rFonts w:ascii="Times New Roman" w:hAnsi="Times New Roman" w:cs="Times New Roman"/>
          <w:sz w:val="20"/>
          <w:szCs w:val="20"/>
          <w:u w:val="single"/>
        </w:rPr>
        <w:t>Seung</w:t>
      </w:r>
      <w:r w:rsidR="001D1F0E">
        <w:rPr>
          <w:rFonts w:ascii="Times New Roman" w:hAnsi="Times New Roman" w:cs="Times New Roman" w:hint="eastAsia"/>
          <w:sz w:val="20"/>
          <w:szCs w:val="20"/>
          <w:u w:val="single"/>
        </w:rPr>
        <w:t>-Y</w:t>
      </w:r>
      <w:r w:rsidRPr="005B2844">
        <w:rPr>
          <w:rFonts w:ascii="Times New Roman" w:hAnsi="Times New Roman" w:cs="Times New Roman"/>
          <w:sz w:val="20"/>
          <w:szCs w:val="20"/>
          <w:u w:val="single"/>
        </w:rPr>
        <w:t>oung</w:t>
      </w:r>
      <w:r w:rsidR="001D1F0E">
        <w:rPr>
          <w:rFonts w:ascii="Times New Roman" w:hAnsi="Times New Roman" w:cs="Times New Roman" w:hint="eastAsia"/>
          <w:sz w:val="20"/>
          <w:szCs w:val="20"/>
          <w:u w:val="single"/>
        </w:rPr>
        <w:t xml:space="preserve"> Park</w:t>
      </w:r>
      <w:r w:rsidRPr="005B2844">
        <w:rPr>
          <w:rFonts w:ascii="Times New Roman" w:hAnsi="Times New Roman" w:cs="Times New Roman"/>
          <w:sz w:val="20"/>
          <w:szCs w:val="20"/>
        </w:rPr>
        <w:t>, Jin</w:t>
      </w:r>
      <w:r w:rsidR="001D1F0E">
        <w:rPr>
          <w:rFonts w:ascii="Times New Roman" w:hAnsi="Times New Roman" w:cs="Times New Roman" w:hint="eastAsia"/>
          <w:sz w:val="20"/>
          <w:szCs w:val="20"/>
        </w:rPr>
        <w:t>-</w:t>
      </w:r>
      <w:proofErr w:type="spellStart"/>
      <w:r w:rsidRPr="005B2844">
        <w:rPr>
          <w:rFonts w:ascii="Times New Roman" w:hAnsi="Times New Roman" w:cs="Times New Roman"/>
          <w:sz w:val="20"/>
          <w:szCs w:val="20"/>
        </w:rPr>
        <w:t>Seong</w:t>
      </w:r>
      <w:proofErr w:type="spellEnd"/>
      <w:r w:rsidR="001D1F0E">
        <w:rPr>
          <w:rFonts w:ascii="Times New Roman" w:hAnsi="Times New Roman" w:cs="Times New Roman" w:hint="eastAsia"/>
          <w:sz w:val="20"/>
          <w:szCs w:val="20"/>
        </w:rPr>
        <w:t xml:space="preserve"> An</w:t>
      </w:r>
      <w:r w:rsidRPr="005B2844">
        <w:rPr>
          <w:rFonts w:ascii="Times New Roman" w:hAnsi="Times New Roman" w:cs="Times New Roman"/>
          <w:sz w:val="20"/>
          <w:szCs w:val="20"/>
        </w:rPr>
        <w:t>,</w:t>
      </w:r>
      <w:r w:rsidR="001D1F0E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5B2844">
        <w:rPr>
          <w:rFonts w:ascii="Times New Roman" w:hAnsi="Times New Roman" w:cs="Times New Roman"/>
          <w:sz w:val="20"/>
          <w:szCs w:val="20"/>
        </w:rPr>
        <w:t>Seung</w:t>
      </w:r>
      <w:r w:rsidR="001D1F0E">
        <w:rPr>
          <w:rFonts w:ascii="Times New Roman" w:hAnsi="Times New Roman" w:cs="Times New Roman" w:hint="eastAsia"/>
          <w:sz w:val="20"/>
          <w:szCs w:val="20"/>
        </w:rPr>
        <w:t>-</w:t>
      </w:r>
      <w:r w:rsidRPr="005B2844">
        <w:rPr>
          <w:rFonts w:ascii="Times New Roman" w:hAnsi="Times New Roman" w:cs="Times New Roman"/>
          <w:sz w:val="20"/>
          <w:szCs w:val="20"/>
        </w:rPr>
        <w:t xml:space="preserve"> Kyong</w:t>
      </w:r>
      <w:r w:rsidR="001D1F0E">
        <w:rPr>
          <w:rFonts w:ascii="Times New Roman" w:hAnsi="Times New Roman" w:cs="Times New Roman" w:hint="eastAsia"/>
          <w:sz w:val="20"/>
          <w:szCs w:val="20"/>
        </w:rPr>
        <w:t xml:space="preserve"> Kang</w:t>
      </w:r>
      <w:r w:rsidRPr="005B2844">
        <w:rPr>
          <w:rFonts w:ascii="Times New Roman" w:hAnsi="Times New Roman" w:cs="Times New Roman"/>
          <w:sz w:val="20"/>
          <w:szCs w:val="20"/>
        </w:rPr>
        <w:t xml:space="preserve">, </w:t>
      </w:r>
      <w:r w:rsidR="005B2844" w:rsidRPr="005B2844">
        <w:rPr>
          <w:rFonts w:ascii="Times New Roman" w:hAnsi="Times New Roman" w:cs="Times New Roman"/>
          <w:sz w:val="20"/>
          <w:szCs w:val="20"/>
        </w:rPr>
        <w:t>S</w:t>
      </w:r>
      <w:r w:rsidR="008737FD" w:rsidRPr="005B2844">
        <w:rPr>
          <w:rFonts w:ascii="Times New Roman" w:hAnsi="Times New Roman" w:cs="Times New Roman"/>
          <w:sz w:val="20"/>
          <w:szCs w:val="20"/>
        </w:rPr>
        <w:t>ang</w:t>
      </w:r>
      <w:r w:rsidR="001D1F0E">
        <w:rPr>
          <w:rFonts w:ascii="Times New Roman" w:hAnsi="Times New Roman" w:cs="Times New Roman" w:hint="eastAsia"/>
          <w:sz w:val="20"/>
          <w:szCs w:val="20"/>
        </w:rPr>
        <w:t>-</w:t>
      </w:r>
      <w:r w:rsidR="008737FD" w:rsidRPr="005B2844">
        <w:rPr>
          <w:rFonts w:ascii="Times New Roman" w:hAnsi="Times New Roman" w:cs="Times New Roman"/>
          <w:sz w:val="20"/>
          <w:szCs w:val="20"/>
        </w:rPr>
        <w:t xml:space="preserve"> </w:t>
      </w:r>
      <w:r w:rsidR="005B2844" w:rsidRPr="005B2844">
        <w:rPr>
          <w:rFonts w:ascii="Times New Roman" w:hAnsi="Times New Roman" w:cs="Times New Roman"/>
          <w:sz w:val="20"/>
          <w:szCs w:val="20"/>
        </w:rPr>
        <w:t>Y</w:t>
      </w:r>
      <w:r w:rsidR="008737FD" w:rsidRPr="005B2844">
        <w:rPr>
          <w:rFonts w:ascii="Times New Roman" w:hAnsi="Times New Roman" w:cs="Times New Roman"/>
          <w:sz w:val="20"/>
          <w:szCs w:val="20"/>
        </w:rPr>
        <w:t>oon</w:t>
      </w:r>
      <w:r w:rsidR="001D1F0E">
        <w:rPr>
          <w:rFonts w:ascii="Times New Roman" w:hAnsi="Times New Roman" w:cs="Times New Roman" w:hint="eastAsia"/>
          <w:sz w:val="20"/>
          <w:szCs w:val="20"/>
        </w:rPr>
        <w:t xml:space="preserve"> Kim</w:t>
      </w:r>
      <w:r w:rsidR="008737FD" w:rsidRPr="005B2844">
        <w:rPr>
          <w:rFonts w:ascii="Times New Roman" w:hAnsi="Times New Roman" w:cs="Times New Roman"/>
          <w:sz w:val="20"/>
          <w:szCs w:val="20"/>
        </w:rPr>
        <w:t xml:space="preserve">, </w:t>
      </w:r>
      <w:r w:rsidRPr="005B2844">
        <w:rPr>
          <w:rFonts w:ascii="Times New Roman" w:hAnsi="Times New Roman" w:cs="Times New Roman"/>
          <w:sz w:val="20"/>
          <w:szCs w:val="20"/>
        </w:rPr>
        <w:t>Duck</w:t>
      </w:r>
      <w:r w:rsidR="001D1F0E">
        <w:rPr>
          <w:rFonts w:ascii="Times New Roman" w:hAnsi="Times New Roman" w:cs="Times New Roman" w:hint="eastAsia"/>
          <w:sz w:val="20"/>
          <w:szCs w:val="20"/>
        </w:rPr>
        <w:t>-</w:t>
      </w:r>
      <w:r w:rsidRPr="005B2844">
        <w:rPr>
          <w:rFonts w:ascii="Times New Roman" w:hAnsi="Times New Roman" w:cs="Times New Roman"/>
          <w:sz w:val="20"/>
          <w:szCs w:val="20"/>
        </w:rPr>
        <w:t xml:space="preserve"> Rye</w:t>
      </w:r>
      <w:r w:rsidR="001D1F0E">
        <w:rPr>
          <w:rFonts w:ascii="Times New Roman" w:hAnsi="Times New Roman" w:cs="Times New Roman" w:hint="eastAsia"/>
          <w:sz w:val="20"/>
          <w:szCs w:val="20"/>
        </w:rPr>
        <w:t xml:space="preserve"> Chang</w:t>
      </w:r>
      <w:r w:rsidR="001D1F0E" w:rsidRPr="001D1F0E">
        <w:rPr>
          <w:rFonts w:ascii="Times New Roman" w:hAnsi="Times New Roman" w:cs="Times New Roman" w:hint="eastAsia"/>
          <w:sz w:val="20"/>
          <w:szCs w:val="20"/>
          <w:vertAlign w:val="superscript"/>
        </w:rPr>
        <w:t>*</w:t>
      </w:r>
    </w:p>
    <w:p w14:paraId="17E069E1" w14:textId="77777777" w:rsidR="005B2844" w:rsidRPr="00597F9F" w:rsidRDefault="005B2844" w:rsidP="005B2844">
      <w:pPr>
        <w:spacing w:after="120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597F9F">
        <w:rPr>
          <w:rFonts w:ascii="Times New Roman" w:hAnsi="Times New Roman" w:cs="Times New Roman"/>
          <w:i/>
          <w:iCs/>
          <w:sz w:val="20"/>
          <w:szCs w:val="20"/>
        </w:rPr>
        <w:t>Korea Institute of Industrial Technology</w:t>
      </w:r>
    </w:p>
    <w:p w14:paraId="174AA20D" w14:textId="77777777" w:rsidR="005B2844" w:rsidRPr="00597F9F" w:rsidRDefault="005B2844" w:rsidP="005B2844">
      <w:pPr>
        <w:spacing w:after="120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597F9F">
        <w:rPr>
          <w:rFonts w:ascii="Times New Roman" w:hAnsi="Times New Roman" w:cs="Times New Roman"/>
          <w:i/>
          <w:iCs/>
          <w:sz w:val="20"/>
          <w:szCs w:val="20"/>
        </w:rPr>
        <w:t xml:space="preserve">6, </w:t>
      </w:r>
      <w:proofErr w:type="spellStart"/>
      <w:r w:rsidRPr="00597F9F">
        <w:rPr>
          <w:rFonts w:ascii="Times New Roman" w:hAnsi="Times New Roman" w:cs="Times New Roman"/>
          <w:i/>
          <w:iCs/>
          <w:sz w:val="20"/>
          <w:szCs w:val="20"/>
        </w:rPr>
        <w:t>Cheomdan-gwagiro</w:t>
      </w:r>
      <w:proofErr w:type="spellEnd"/>
      <w:r w:rsidRPr="00597F9F">
        <w:rPr>
          <w:rFonts w:ascii="Times New Roman" w:hAnsi="Times New Roman" w:cs="Times New Roman"/>
          <w:i/>
          <w:iCs/>
          <w:sz w:val="20"/>
          <w:szCs w:val="20"/>
        </w:rPr>
        <w:t xml:space="preserve"> 208-gil, Buk-Gu, </w:t>
      </w:r>
      <w:proofErr w:type="spellStart"/>
      <w:r w:rsidRPr="00597F9F">
        <w:rPr>
          <w:rFonts w:ascii="Times New Roman" w:hAnsi="Times New Roman" w:cs="Times New Roman"/>
          <w:i/>
          <w:iCs/>
          <w:sz w:val="20"/>
          <w:szCs w:val="20"/>
        </w:rPr>
        <w:t>GwangJu</w:t>
      </w:r>
      <w:proofErr w:type="spellEnd"/>
      <w:r w:rsidRPr="00597F9F">
        <w:rPr>
          <w:rFonts w:ascii="Times New Roman" w:hAnsi="Times New Roman" w:cs="Times New Roman"/>
          <w:i/>
          <w:iCs/>
          <w:sz w:val="20"/>
          <w:szCs w:val="20"/>
        </w:rPr>
        <w:t>, Korea</w:t>
      </w:r>
    </w:p>
    <w:p w14:paraId="253780E0" w14:textId="20576E53" w:rsidR="005B2844" w:rsidRDefault="001D1F0E" w:rsidP="005B2844">
      <w:pPr>
        <w:spacing w:after="120"/>
        <w:jc w:val="center"/>
        <w:rPr>
          <w:rFonts w:ascii="Times New Roman" w:hAnsi="Times New Roman" w:cs="Times New Roman"/>
          <w:sz w:val="20"/>
          <w:szCs w:val="20"/>
        </w:rPr>
      </w:pPr>
      <w:r w:rsidRPr="001D1F0E">
        <w:rPr>
          <w:rFonts w:ascii="Times New Roman" w:hAnsi="Times New Roman" w:cs="Times New Roman" w:hint="eastAsia"/>
          <w:sz w:val="20"/>
          <w:szCs w:val="20"/>
          <w:vertAlign w:val="superscript"/>
        </w:rPr>
        <w:t>*</w:t>
      </w:r>
      <w:r w:rsidR="005B2844">
        <w:rPr>
          <w:rFonts w:ascii="Times New Roman" w:hAnsi="Times New Roman" w:cs="Times New Roman" w:hint="eastAsia"/>
          <w:sz w:val="20"/>
          <w:szCs w:val="20"/>
        </w:rPr>
        <w:t>drchang@kitech.re.kr</w:t>
      </w:r>
    </w:p>
    <w:p w14:paraId="045B9807" w14:textId="77777777" w:rsidR="0039382F" w:rsidRPr="005B2844" w:rsidRDefault="0039382F" w:rsidP="00837F9E"/>
    <w:p w14:paraId="58010B5D" w14:textId="77777777" w:rsidR="002E047C" w:rsidRPr="005B2844" w:rsidRDefault="002E047C" w:rsidP="002E047C">
      <w:pPr>
        <w:jc w:val="both"/>
        <w:rPr>
          <w:rFonts w:ascii="Times New Roman" w:hAnsi="Times New Roman" w:cs="Times New Roman"/>
          <w:sz w:val="20"/>
          <w:szCs w:val="20"/>
        </w:rPr>
      </w:pPr>
      <w:r w:rsidRPr="005B2844">
        <w:rPr>
          <w:rFonts w:ascii="Times New Roman" w:hAnsi="Times New Roman" w:cs="Times New Roman"/>
          <w:sz w:val="20"/>
          <w:szCs w:val="20"/>
        </w:rPr>
        <w:t>With the increasing demand for high-energy-density and intrinsically safe lithium-ion batteries, quasi-solid electrolytes (QSEs) have gained significant attention as an alternative to conventional liquid systems. However, reducing electrolyte thickness while maintaining mechanical robustness and interfacial stability remains a critical challenge for practical implementation, particularly in high-loading electrode configurations.</w:t>
      </w:r>
    </w:p>
    <w:p w14:paraId="3B1DE16D" w14:textId="77777777" w:rsidR="002E047C" w:rsidRPr="005B2844" w:rsidRDefault="002E047C" w:rsidP="002E047C">
      <w:pPr>
        <w:jc w:val="both"/>
        <w:rPr>
          <w:rFonts w:ascii="Times New Roman" w:hAnsi="Times New Roman" w:cs="Times New Roman"/>
          <w:sz w:val="20"/>
          <w:szCs w:val="20"/>
        </w:rPr>
      </w:pPr>
      <w:r w:rsidRPr="005B2844">
        <w:rPr>
          <w:rFonts w:ascii="Times New Roman" w:hAnsi="Times New Roman" w:cs="Times New Roman"/>
          <w:sz w:val="20"/>
          <w:szCs w:val="20"/>
        </w:rPr>
        <w:t xml:space="preserve">In this study, we report the design and fabrication of an ultra-thin QSE with a total thickness below 30 </w:t>
      </w:r>
      <w:proofErr w:type="spellStart"/>
      <w:r w:rsidRPr="005B2844">
        <w:rPr>
          <w:rFonts w:ascii="Times New Roman" w:hAnsi="Times New Roman" w:cs="Times New Roman"/>
          <w:sz w:val="20"/>
          <w:szCs w:val="20"/>
        </w:rPr>
        <w:t>μm</w:t>
      </w:r>
      <w:proofErr w:type="spellEnd"/>
      <w:r w:rsidRPr="005B2844">
        <w:rPr>
          <w:rFonts w:ascii="Times New Roman" w:hAnsi="Times New Roman" w:cs="Times New Roman"/>
          <w:sz w:val="20"/>
          <w:szCs w:val="20"/>
        </w:rPr>
        <w:t>, achieved by symmetrically coating a quasi-solid electrolyte matrix onto both sides of a thin polyethylene (PE) separator. This structural configuration enables both mechanical reinforcement and uniform ionic transport pathways. The resulting composite electrolyte exhibited a high ionic conductivity exceeding 3 mS/cm at room temperature and outstanding mechanical strength above 200 MPa. In addition, the membrane demonstrated excellent thermal stability, showing only ~10% shrinkage at 200°C, indicating strong resistance to thermal deformation under severe conditions.</w:t>
      </w:r>
    </w:p>
    <w:p w14:paraId="045DE8FE" w14:textId="77777777" w:rsidR="002E047C" w:rsidRPr="005B2844" w:rsidRDefault="002E047C" w:rsidP="002E047C">
      <w:pPr>
        <w:jc w:val="both"/>
        <w:rPr>
          <w:rFonts w:ascii="Times New Roman" w:hAnsi="Times New Roman" w:cs="Times New Roman"/>
          <w:sz w:val="20"/>
          <w:szCs w:val="20"/>
        </w:rPr>
      </w:pPr>
      <w:r w:rsidRPr="005B2844">
        <w:rPr>
          <w:rFonts w:ascii="Times New Roman" w:hAnsi="Times New Roman" w:cs="Times New Roman"/>
          <w:sz w:val="20"/>
          <w:szCs w:val="20"/>
        </w:rPr>
        <w:t>Electrochemical performance was evaluated using high-loading NCM811/Gr–</w:t>
      </w:r>
      <w:proofErr w:type="spellStart"/>
      <w:r w:rsidRPr="005B2844">
        <w:rPr>
          <w:rFonts w:ascii="Times New Roman" w:hAnsi="Times New Roman" w:cs="Times New Roman"/>
          <w:sz w:val="20"/>
          <w:szCs w:val="20"/>
        </w:rPr>
        <w:t>SiO</w:t>
      </w:r>
      <w:proofErr w:type="spellEnd"/>
      <w:r w:rsidRPr="005B2844">
        <w:rPr>
          <w:rFonts w:ascii="Times New Roman" w:hAnsi="Times New Roman" w:cs="Times New Roman"/>
          <w:sz w:val="20"/>
          <w:szCs w:val="20"/>
        </w:rPr>
        <w:t xml:space="preserve">ₓ full cells (4 </w:t>
      </w:r>
      <w:proofErr w:type="spellStart"/>
      <w:r w:rsidRPr="005B2844">
        <w:rPr>
          <w:rFonts w:ascii="Times New Roman" w:hAnsi="Times New Roman" w:cs="Times New Roman"/>
          <w:sz w:val="20"/>
          <w:szCs w:val="20"/>
        </w:rPr>
        <w:t>mAh</w:t>
      </w:r>
      <w:proofErr w:type="spellEnd"/>
      <w:r w:rsidRPr="005B2844">
        <w:rPr>
          <w:rFonts w:ascii="Times New Roman" w:hAnsi="Times New Roman" w:cs="Times New Roman"/>
          <w:sz w:val="20"/>
          <w:szCs w:val="20"/>
        </w:rPr>
        <w:t>/cm</w:t>
      </w:r>
      <w:r w:rsidRPr="005B2844">
        <w:rPr>
          <w:rFonts w:ascii="Times New Roman" w:eastAsia="맑은 고딕" w:hAnsi="Times New Roman" w:cs="Times New Roman"/>
          <w:sz w:val="20"/>
          <w:szCs w:val="20"/>
        </w:rPr>
        <w:t>²</w:t>
      </w:r>
      <w:r w:rsidRPr="005B2844">
        <w:rPr>
          <w:rFonts w:ascii="Times New Roman" w:hAnsi="Times New Roman" w:cs="Times New Roman"/>
          <w:sz w:val="20"/>
          <w:szCs w:val="20"/>
        </w:rPr>
        <w:t xml:space="preserve">). The effects of electrolyte thickness and liquid electrolyte content on cycling stability were systematically investigated. Cells incorporating QSE layers with a thickness of 15 </w:t>
      </w:r>
      <w:proofErr w:type="spellStart"/>
      <w:r w:rsidRPr="005B2844">
        <w:rPr>
          <w:rFonts w:ascii="Times New Roman" w:eastAsia="맑은 고딕" w:hAnsi="Times New Roman" w:cs="Times New Roman"/>
          <w:sz w:val="20"/>
          <w:szCs w:val="20"/>
        </w:rPr>
        <w:t>μ</w:t>
      </w:r>
      <w:r w:rsidRPr="005B2844">
        <w:rPr>
          <w:rFonts w:ascii="Times New Roman" w:hAnsi="Times New Roman" w:cs="Times New Roman"/>
          <w:sz w:val="20"/>
          <w:szCs w:val="20"/>
        </w:rPr>
        <w:t>m</w:t>
      </w:r>
      <w:proofErr w:type="spellEnd"/>
      <w:r w:rsidRPr="005B2844">
        <w:rPr>
          <w:rFonts w:ascii="Times New Roman" w:hAnsi="Times New Roman" w:cs="Times New Roman"/>
          <w:sz w:val="20"/>
          <w:szCs w:val="20"/>
        </w:rPr>
        <w:t xml:space="preserve"> or greater maintained over 80% capacity retention after 500 cycles and exhibited negligible self-discharge behavior.</w:t>
      </w:r>
    </w:p>
    <w:p w14:paraId="21C01C4F" w14:textId="77777777" w:rsidR="002E047C" w:rsidRPr="005B2844" w:rsidRDefault="002E047C" w:rsidP="002E047C">
      <w:pPr>
        <w:jc w:val="both"/>
        <w:rPr>
          <w:rFonts w:ascii="Times New Roman" w:hAnsi="Times New Roman" w:cs="Times New Roman"/>
          <w:sz w:val="20"/>
          <w:szCs w:val="20"/>
        </w:rPr>
      </w:pPr>
      <w:r w:rsidRPr="005B2844">
        <w:rPr>
          <w:rFonts w:ascii="Times New Roman" w:hAnsi="Times New Roman" w:cs="Times New Roman"/>
          <w:sz w:val="20"/>
          <w:szCs w:val="20"/>
        </w:rPr>
        <w:t xml:space="preserve">These results demonstrate that the ultra-thin, symmetrically coated QSE structure provides a mechanically robust and electrochemically stable interface for high-loading electrodes. This study presents a practical design strategy for implementing thin, safe, and high-performance quasi-solid-state electrolytes, offering a viable pathway toward the commercialization of next-generation lithium-ion batteries. </w:t>
      </w:r>
    </w:p>
    <w:p w14:paraId="6A6793D9" w14:textId="77777777" w:rsidR="001D303B" w:rsidRPr="005B2844" w:rsidRDefault="001D303B" w:rsidP="001D303B">
      <w:pPr>
        <w:jc w:val="both"/>
        <w:rPr>
          <w:rFonts w:ascii="Times New Roman" w:hAnsi="Times New Roman" w:cs="Times New Roman"/>
          <w:sz w:val="20"/>
          <w:szCs w:val="20"/>
        </w:rPr>
      </w:pPr>
      <w:r w:rsidRPr="005B2844">
        <w:rPr>
          <w:rFonts w:ascii="Times New Roman" w:hAnsi="Times New Roman" w:cs="Times New Roman"/>
          <w:sz w:val="20"/>
          <w:szCs w:val="20"/>
        </w:rPr>
        <w:t>This research was supported by the Ministry of Trade, Industry and Energy (MOTIE), Republic of Korea, under Project No. RS-2025-02315132</w:t>
      </w:r>
    </w:p>
    <w:p w14:paraId="35ABD93B" w14:textId="77777777" w:rsidR="001D303B" w:rsidRPr="005B2844" w:rsidRDefault="001D303B" w:rsidP="002E047C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5553F076" w14:textId="77777777" w:rsidR="002E047C" w:rsidRPr="005B2844" w:rsidRDefault="002E047C" w:rsidP="002E047C">
      <w:pPr>
        <w:rPr>
          <w:rFonts w:ascii="Times New Roman" w:hAnsi="Times New Roman" w:cs="Times New Roman"/>
          <w:sz w:val="20"/>
          <w:szCs w:val="20"/>
        </w:rPr>
      </w:pPr>
      <w:r w:rsidRPr="005B2844">
        <w:rPr>
          <w:rFonts w:ascii="Times New Roman" w:hAnsi="Times New Roman" w:cs="Times New Roman"/>
          <w:b/>
          <w:bCs/>
          <w:sz w:val="20"/>
          <w:szCs w:val="20"/>
        </w:rPr>
        <w:t>Keywords:</w:t>
      </w:r>
      <w:r w:rsidRPr="005B2844">
        <w:rPr>
          <w:rFonts w:ascii="Times New Roman" w:hAnsi="Times New Roman" w:cs="Times New Roman"/>
          <w:sz w:val="20"/>
          <w:szCs w:val="20"/>
        </w:rPr>
        <w:br/>
        <w:t>Quasi-solid electrolyte, ultra-thin electrolyte, PE separator coating, NCM811, high-loading electrode, interface stability</w:t>
      </w:r>
    </w:p>
    <w:p w14:paraId="591C2621" w14:textId="0D502DFD" w:rsidR="0097698C" w:rsidRPr="00837F9E" w:rsidRDefault="00837F9E">
      <w:r>
        <w:rPr>
          <w:rFonts w:hint="eastAsia"/>
        </w:rPr>
        <w:t xml:space="preserve">, </w:t>
      </w:r>
    </w:p>
    <w:sectPr w:rsidR="0097698C" w:rsidRPr="00837F9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BBC046" w14:textId="77777777" w:rsidR="006B34B8" w:rsidRDefault="006B34B8" w:rsidP="005B2844">
      <w:pPr>
        <w:spacing w:after="0"/>
      </w:pPr>
      <w:r>
        <w:separator/>
      </w:r>
    </w:p>
  </w:endnote>
  <w:endnote w:type="continuationSeparator" w:id="0">
    <w:p w14:paraId="55A07209" w14:textId="77777777" w:rsidR="006B34B8" w:rsidRDefault="006B34B8" w:rsidP="005B284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A13BE" w14:textId="77777777" w:rsidR="006B34B8" w:rsidRDefault="006B34B8" w:rsidP="005B2844">
      <w:pPr>
        <w:spacing w:after="0"/>
      </w:pPr>
      <w:r>
        <w:separator/>
      </w:r>
    </w:p>
  </w:footnote>
  <w:footnote w:type="continuationSeparator" w:id="0">
    <w:p w14:paraId="16142675" w14:textId="77777777" w:rsidR="006B34B8" w:rsidRDefault="006B34B8" w:rsidP="005B284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F9E"/>
    <w:rsid w:val="001D1F0E"/>
    <w:rsid w:val="001D303B"/>
    <w:rsid w:val="002E047C"/>
    <w:rsid w:val="0039382F"/>
    <w:rsid w:val="003F2C0D"/>
    <w:rsid w:val="0048462B"/>
    <w:rsid w:val="005B2844"/>
    <w:rsid w:val="00647CCF"/>
    <w:rsid w:val="006B34B8"/>
    <w:rsid w:val="006C0F8E"/>
    <w:rsid w:val="00770F47"/>
    <w:rsid w:val="007774C6"/>
    <w:rsid w:val="00787D78"/>
    <w:rsid w:val="0083171E"/>
    <w:rsid w:val="00837F9E"/>
    <w:rsid w:val="008737FD"/>
    <w:rsid w:val="0097698C"/>
    <w:rsid w:val="009F266B"/>
    <w:rsid w:val="00BE2C07"/>
    <w:rsid w:val="00C71793"/>
    <w:rsid w:val="00E871D6"/>
    <w:rsid w:val="00FF3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80B7B4"/>
  <w15:chartTrackingRefBased/>
  <w15:docId w15:val="{7812B03B-DED3-4D4B-BDD7-97FDBCD5B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837F9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37F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37F9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37F9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37F9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37F9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37F9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37F9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37F9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837F9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837F9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837F9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837F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837F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837F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837F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837F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837F9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837F9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837F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37F9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837F9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37F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837F9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37F9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37F9E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37F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837F9E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37F9E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5B2844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5B2844"/>
  </w:style>
  <w:style w:type="paragraph" w:styleId="ab">
    <w:name w:val="footer"/>
    <w:basedOn w:val="a"/>
    <w:link w:val="Char4"/>
    <w:uiPriority w:val="99"/>
    <w:unhideWhenUsed/>
    <w:rsid w:val="005B2844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5B28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2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8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68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32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373</Words>
  <Characters>2131</Characters>
  <Application>Microsoft Office Word</Application>
  <DocSecurity>0</DocSecurity>
  <Lines>17</Lines>
  <Paragraphs>4</Paragraphs>
  <ScaleCrop>false</ScaleCrop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2026-02-13T04:53:00Z</dcterms:created>
  <dcterms:modified xsi:type="dcterms:W3CDTF">2026-02-19T05:44:00Z</dcterms:modified>
</cp:coreProperties>
</file>