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4677" w14:textId="7588D321" w:rsidR="00325004" w:rsidRPr="00A86EB9" w:rsidRDefault="00404C0F" w:rsidP="00E0716D">
      <w:pPr>
        <w:jc w:val="center"/>
        <w:rPr>
          <w:b/>
          <w:sz w:val="28"/>
        </w:rPr>
      </w:pPr>
      <w:r w:rsidRPr="00404C0F">
        <w:rPr>
          <w:b/>
          <w:sz w:val="28"/>
        </w:rPr>
        <w:t xml:space="preserve">SECM </w:t>
      </w:r>
      <w:r w:rsidR="008D3953">
        <w:rPr>
          <w:b/>
          <w:sz w:val="28"/>
        </w:rPr>
        <w:t xml:space="preserve">Analysis </w:t>
      </w:r>
      <w:r w:rsidRPr="00404C0F">
        <w:rPr>
          <w:b/>
          <w:sz w:val="28"/>
        </w:rPr>
        <w:t xml:space="preserve">of </w:t>
      </w:r>
      <w:r w:rsidR="00A32088">
        <w:rPr>
          <w:b/>
          <w:sz w:val="28"/>
        </w:rPr>
        <w:t>E</w:t>
      </w:r>
      <w:r w:rsidRPr="00404C0F">
        <w:rPr>
          <w:b/>
          <w:sz w:val="28"/>
        </w:rPr>
        <w:t xml:space="preserve">lectrode </w:t>
      </w:r>
      <w:r w:rsidR="00A32088">
        <w:rPr>
          <w:b/>
          <w:sz w:val="28"/>
        </w:rPr>
        <w:t>P</w:t>
      </w:r>
      <w:r w:rsidRPr="00404C0F">
        <w:rPr>
          <w:b/>
          <w:sz w:val="28"/>
        </w:rPr>
        <w:t xml:space="preserve">rocesses </w:t>
      </w:r>
      <w:r w:rsidR="0001025A">
        <w:rPr>
          <w:b/>
          <w:sz w:val="28"/>
        </w:rPr>
        <w:t xml:space="preserve">Occurring </w:t>
      </w:r>
      <w:r w:rsidRPr="00404C0F">
        <w:rPr>
          <w:b/>
          <w:sz w:val="28"/>
        </w:rPr>
        <w:t xml:space="preserve">at </w:t>
      </w:r>
      <w:r w:rsidR="00687AEA">
        <w:rPr>
          <w:b/>
          <w:sz w:val="28"/>
        </w:rPr>
        <w:t>H</w:t>
      </w:r>
      <w:r w:rsidRPr="00404C0F">
        <w:rPr>
          <w:b/>
          <w:sz w:val="28"/>
        </w:rPr>
        <w:t xml:space="preserve">ighly </w:t>
      </w:r>
      <w:r w:rsidR="00687AEA">
        <w:rPr>
          <w:b/>
          <w:sz w:val="28"/>
        </w:rPr>
        <w:t>N</w:t>
      </w:r>
      <w:r w:rsidRPr="00404C0F">
        <w:rPr>
          <w:b/>
          <w:sz w:val="28"/>
        </w:rPr>
        <w:t xml:space="preserve">egative </w:t>
      </w:r>
      <w:r w:rsidR="00687AEA">
        <w:rPr>
          <w:b/>
          <w:sz w:val="28"/>
        </w:rPr>
        <w:t>P</w:t>
      </w:r>
      <w:r w:rsidRPr="00404C0F">
        <w:rPr>
          <w:b/>
          <w:sz w:val="28"/>
        </w:rPr>
        <w:t>otentials</w:t>
      </w:r>
      <w:r w:rsidR="0001025A">
        <w:rPr>
          <w:b/>
          <w:sz w:val="28"/>
        </w:rPr>
        <w:t xml:space="preserve"> </w:t>
      </w:r>
      <w:r w:rsidRPr="00404C0F">
        <w:rPr>
          <w:b/>
          <w:sz w:val="28"/>
        </w:rPr>
        <w:t xml:space="preserve">in </w:t>
      </w:r>
      <w:r w:rsidR="00687AEA">
        <w:rPr>
          <w:b/>
          <w:sz w:val="28"/>
        </w:rPr>
        <w:t>A</w:t>
      </w:r>
      <w:r w:rsidRPr="00404C0F">
        <w:rPr>
          <w:b/>
          <w:sz w:val="28"/>
        </w:rPr>
        <w:t xml:space="preserve">queous </w:t>
      </w:r>
      <w:r w:rsidR="007C16AB">
        <w:rPr>
          <w:b/>
          <w:sz w:val="28"/>
        </w:rPr>
        <w:t>E</w:t>
      </w:r>
      <w:r w:rsidRPr="00404C0F">
        <w:rPr>
          <w:b/>
          <w:sz w:val="28"/>
        </w:rPr>
        <w:t>lectrolytes</w:t>
      </w:r>
    </w:p>
    <w:p w14:paraId="37594678" w14:textId="77777777" w:rsidR="00325004" w:rsidRPr="00A86EB9" w:rsidRDefault="00325004" w:rsidP="00E0716D">
      <w:pPr>
        <w:jc w:val="center"/>
        <w:rPr>
          <w:b/>
          <w:sz w:val="28"/>
        </w:rPr>
      </w:pPr>
    </w:p>
    <w:p w14:paraId="37594679" w14:textId="5C1E0AE9" w:rsidR="00325004" w:rsidRDefault="004858AD" w:rsidP="00E0716D">
      <w:pPr>
        <w:jc w:val="center"/>
      </w:pPr>
      <w:r w:rsidRPr="004858AD">
        <w:t xml:space="preserve">Angelika Holzinger, Vaishali Shrivastav, Ariba Aziz, Ahmed Elamine Ouali, </w:t>
      </w:r>
      <w:r w:rsidRPr="00C7389C">
        <w:rPr>
          <w:u w:val="single"/>
        </w:rPr>
        <w:t>Wojciech Nogala</w:t>
      </w:r>
    </w:p>
    <w:p w14:paraId="3759467A" w14:textId="48F2E892" w:rsidR="00325004" w:rsidRPr="00A86EB9" w:rsidRDefault="00C7389C" w:rsidP="00E0716D">
      <w:pPr>
        <w:jc w:val="center"/>
        <w:rPr>
          <w:i/>
        </w:rPr>
      </w:pPr>
      <w:r>
        <w:rPr>
          <w:i/>
        </w:rPr>
        <w:t>Institute of Physical Chemistry, Polish Academy of Sciences</w:t>
      </w:r>
    </w:p>
    <w:p w14:paraId="3759467B" w14:textId="6931D0C2" w:rsidR="00325004" w:rsidRPr="001B17F5" w:rsidRDefault="006C4910" w:rsidP="00E0716D">
      <w:pPr>
        <w:jc w:val="center"/>
        <w:rPr>
          <w:lang w:val="pl-PL"/>
        </w:rPr>
      </w:pPr>
      <w:r w:rsidRPr="001B17F5">
        <w:rPr>
          <w:i/>
          <w:lang w:val="pl-PL"/>
        </w:rPr>
        <w:t>Kasprzaka 44/52, 01-224 Warsaw, Poland</w:t>
      </w:r>
    </w:p>
    <w:p w14:paraId="3759467C" w14:textId="15B7EE5C" w:rsidR="00685C1A" w:rsidRPr="00674EA4" w:rsidRDefault="001B17F5" w:rsidP="00E0716D">
      <w:pPr>
        <w:jc w:val="center"/>
        <w:rPr>
          <w:i/>
        </w:rPr>
      </w:pPr>
      <w:r w:rsidRPr="00674EA4">
        <w:rPr>
          <w:i/>
        </w:rPr>
        <w:t>wnogala@ichf.edu.pl</w:t>
      </w:r>
    </w:p>
    <w:p w14:paraId="3759467D" w14:textId="77777777" w:rsidR="00325004" w:rsidRPr="00674EA4" w:rsidRDefault="00325004" w:rsidP="00E0716D">
      <w:pPr>
        <w:jc w:val="center"/>
      </w:pPr>
    </w:p>
    <w:p w14:paraId="329B8BCA" w14:textId="13030E09" w:rsidR="003A0A74" w:rsidRDefault="00674EA4" w:rsidP="00674EA4">
      <w:pPr>
        <w:jc w:val="both"/>
      </w:pPr>
      <w:r>
        <w:t>Electrode processes occurring at highly negative potentials in aqueous electrolytes are of significant importance in numerous electrochemical technologies, including hydrogen production, electrodeposition, electrosynthesis, and carbon dioxide reduction. In many cases, these processes are accompanied by hydrogen evolution, substantial local pH changes, and coupled homogeneous reactions, which complicate mechanistic investigations and hinder quantitative kinetic analysis.</w:t>
      </w:r>
      <w:r w:rsidR="003201A1">
        <w:t>[1</w:t>
      </w:r>
      <w:r w:rsidR="00BA7E7F">
        <w:t>-3]</w:t>
      </w:r>
      <w:r>
        <w:t xml:space="preserve"> The spatially resolved characterization of electrochemical activity under such conditions is therefore essential for understanding reaction pathways and identifying active surface sites</w:t>
      </w:r>
      <w:r w:rsidR="00BA7E7F">
        <w:t xml:space="preserve"> and intermediates</w:t>
      </w:r>
      <w:r>
        <w:t>.</w:t>
      </w:r>
    </w:p>
    <w:p w14:paraId="745A2AE6" w14:textId="40655681" w:rsidR="00A91191" w:rsidRDefault="00674EA4" w:rsidP="00A91191">
      <w:pPr>
        <w:ind w:firstLine="720"/>
        <w:jc w:val="both"/>
      </w:pPr>
      <w:r>
        <w:t xml:space="preserve">Scanning electrochemical microscopy (SECM) </w:t>
      </w:r>
      <w:r w:rsidR="008B61D9">
        <w:t>is</w:t>
      </w:r>
      <w:r>
        <w:t xml:space="preserve"> a versatile tool for investigating electrochemical processes at solid–liquid interfaces. Previous studies employed SECM to investigate hydrogen evolution through mediated feedback, hydrogen oxidation detection, and localized imaging of catalytic activity.</w:t>
      </w:r>
      <w:r w:rsidR="00A91191">
        <w:t>[4-7]</w:t>
      </w:r>
      <w:r>
        <w:t xml:space="preserve"> However, the application of SECM to processes driven at highly negative substrate potentials remains challenging due to interference from gas evolution, changes in local electrolyte composition, and competing homogeneous reactions.</w:t>
      </w:r>
    </w:p>
    <w:p w14:paraId="56FB9290" w14:textId="33C26A68" w:rsidR="00674EA4" w:rsidRDefault="00674EA4" w:rsidP="00A91191">
      <w:pPr>
        <w:ind w:firstLine="720"/>
        <w:jc w:val="both"/>
      </w:pPr>
      <w:r>
        <w:t>This presentation will discuss the use of feedback mode SECM for the investigation of electrode reactions occurring at highly negative potentials in aqueous electrolytes. Particular attention will be devoted to the influence of hydrogen evolution and local pH gradients on the measured feedback response, as well as to the role of homogeneous reactions coupl</w:t>
      </w:r>
      <w:r w:rsidR="002626A7">
        <w:t>ed</w:t>
      </w:r>
      <w:r>
        <w:t xml:space="preserve"> </w:t>
      </w:r>
      <w:r w:rsidR="002626A7">
        <w:t xml:space="preserve">to </w:t>
      </w:r>
      <w:r>
        <w:t>the tip and substrate processes. Experimental results obtained for metallic substrates polarized under bipotentiostatic control will be presented together with kinetic analysis based on SECM approach curves and imaging experiments. The methodology enables localized characterization of electrocatalytic activity and provides insight into reaction mechanisms occurring under conditions relevant to electrochemical conversion processes.</w:t>
      </w:r>
    </w:p>
    <w:p w14:paraId="0C3279E1" w14:textId="77777777" w:rsidR="00674EA4" w:rsidRDefault="00674EA4" w:rsidP="00674EA4">
      <w:pPr>
        <w:jc w:val="both"/>
      </w:pPr>
    </w:p>
    <w:p w14:paraId="077A5EDE" w14:textId="77777777" w:rsidR="00674EA4" w:rsidRDefault="00674EA4" w:rsidP="00674EA4">
      <w:pPr>
        <w:jc w:val="both"/>
      </w:pPr>
      <w:r>
        <w:t>References</w:t>
      </w:r>
    </w:p>
    <w:p w14:paraId="4EEAE9ED" w14:textId="410C9EC4" w:rsidR="00D11135" w:rsidRDefault="00674EA4" w:rsidP="00D11135">
      <w:pPr>
        <w:pStyle w:val="Akapitzlist"/>
        <w:numPr>
          <w:ilvl w:val="0"/>
          <w:numId w:val="1"/>
        </w:numPr>
        <w:ind w:left="426"/>
        <w:jc w:val="both"/>
      </w:pPr>
      <w:r>
        <w:t xml:space="preserve">Katsounaros, I.; Cherevko, S.; Zeradjanin, A.; Mayrhofer, K. </w:t>
      </w:r>
      <w:r w:rsidRPr="0061369F">
        <w:rPr>
          <w:i/>
          <w:iCs/>
        </w:rPr>
        <w:t>Angew. Chem. Int. Ed.</w:t>
      </w:r>
      <w:r>
        <w:t xml:space="preserve"> </w:t>
      </w:r>
      <w:r w:rsidRPr="00615EFD">
        <w:rPr>
          <w:b/>
          <w:bCs/>
        </w:rPr>
        <w:t>2014</w:t>
      </w:r>
      <w:r>
        <w:t xml:space="preserve">, </w:t>
      </w:r>
      <w:r w:rsidRPr="00615EFD">
        <w:rPr>
          <w:i/>
          <w:iCs/>
        </w:rPr>
        <w:t>53</w:t>
      </w:r>
      <w:r>
        <w:t>, 102.</w:t>
      </w:r>
    </w:p>
    <w:p w14:paraId="767C82C6" w14:textId="479FF08A" w:rsidR="00D11135" w:rsidRDefault="00674EA4" w:rsidP="00D11135">
      <w:pPr>
        <w:pStyle w:val="Akapitzlist"/>
        <w:numPr>
          <w:ilvl w:val="0"/>
          <w:numId w:val="1"/>
        </w:numPr>
        <w:ind w:left="426"/>
        <w:jc w:val="both"/>
      </w:pPr>
      <w:r>
        <w:t xml:space="preserve">Zhu, S.; Qin, X.; Xiao, F.; Yang, S.; Xu, Y.; Tan, Z.; Li, J.; Yan, J.; Chen, Q.; Chen, M.; Shao, M. </w:t>
      </w:r>
      <w:r w:rsidRPr="000428C5">
        <w:rPr>
          <w:i/>
          <w:iCs/>
        </w:rPr>
        <w:t>Nat. Catal.</w:t>
      </w:r>
      <w:r>
        <w:t xml:space="preserve"> </w:t>
      </w:r>
      <w:r w:rsidRPr="000428C5">
        <w:rPr>
          <w:b/>
          <w:bCs/>
        </w:rPr>
        <w:t>2021</w:t>
      </w:r>
      <w:r>
        <w:t xml:space="preserve">, </w:t>
      </w:r>
      <w:r w:rsidRPr="000428C5">
        <w:rPr>
          <w:i/>
          <w:iCs/>
        </w:rPr>
        <w:t>4</w:t>
      </w:r>
      <w:r>
        <w:t>, 711.</w:t>
      </w:r>
    </w:p>
    <w:p w14:paraId="3EABA2B9" w14:textId="7A9D0E32" w:rsidR="00D11135" w:rsidRDefault="00674EA4" w:rsidP="00D11135">
      <w:pPr>
        <w:pStyle w:val="Akapitzlist"/>
        <w:numPr>
          <w:ilvl w:val="0"/>
          <w:numId w:val="1"/>
        </w:numPr>
        <w:ind w:left="426"/>
        <w:jc w:val="both"/>
        <w:rPr>
          <w:lang w:val="pl-PL"/>
        </w:rPr>
      </w:pPr>
      <w:r w:rsidRPr="00D11135">
        <w:rPr>
          <w:lang w:val="pl-PL"/>
        </w:rPr>
        <w:t xml:space="preserve">Michalak, M.; Roguska, A.; Nogala, W.; Opallo, M. </w:t>
      </w:r>
      <w:r w:rsidRPr="00BA65F2">
        <w:rPr>
          <w:i/>
          <w:iCs/>
          <w:lang w:val="pl-PL"/>
        </w:rPr>
        <w:t>Nanoscale Adv.</w:t>
      </w:r>
      <w:r w:rsidRPr="00D11135">
        <w:rPr>
          <w:lang w:val="pl-PL"/>
        </w:rPr>
        <w:t xml:space="preserve"> </w:t>
      </w:r>
      <w:r w:rsidRPr="00BA65F2">
        <w:rPr>
          <w:b/>
          <w:bCs/>
          <w:lang w:val="pl-PL"/>
        </w:rPr>
        <w:t>2019</w:t>
      </w:r>
      <w:r w:rsidRPr="00D11135">
        <w:rPr>
          <w:lang w:val="pl-PL"/>
        </w:rPr>
        <w:t xml:space="preserve">, </w:t>
      </w:r>
      <w:r w:rsidRPr="00BA65F2">
        <w:rPr>
          <w:i/>
          <w:iCs/>
          <w:lang w:val="pl-PL"/>
        </w:rPr>
        <w:t>1</w:t>
      </w:r>
      <w:r w:rsidRPr="00D11135">
        <w:rPr>
          <w:lang w:val="pl-PL"/>
        </w:rPr>
        <w:t>, 2645.</w:t>
      </w:r>
    </w:p>
    <w:p w14:paraId="2E3B92EF" w14:textId="3797F9E4" w:rsidR="00D11135" w:rsidRDefault="00674EA4" w:rsidP="00D11135">
      <w:pPr>
        <w:pStyle w:val="Akapitzlist"/>
        <w:numPr>
          <w:ilvl w:val="0"/>
          <w:numId w:val="1"/>
        </w:numPr>
        <w:ind w:left="426"/>
        <w:jc w:val="both"/>
      </w:pPr>
      <w:r>
        <w:t xml:space="preserve">Zhou, J.; Zu, Y.; Bard, A. </w:t>
      </w:r>
      <w:r w:rsidR="00F31931" w:rsidRPr="00424033">
        <w:rPr>
          <w:i/>
          <w:iCs/>
        </w:rPr>
        <w:t xml:space="preserve">J. </w:t>
      </w:r>
      <w:r w:rsidRPr="00CD4D07">
        <w:rPr>
          <w:i/>
          <w:iCs/>
        </w:rPr>
        <w:t>Electroanal. Chem.</w:t>
      </w:r>
      <w:r>
        <w:t xml:space="preserve"> </w:t>
      </w:r>
      <w:r w:rsidRPr="00CD4D07">
        <w:rPr>
          <w:b/>
          <w:bCs/>
        </w:rPr>
        <w:t>2000</w:t>
      </w:r>
      <w:r>
        <w:t xml:space="preserve">, </w:t>
      </w:r>
      <w:r w:rsidRPr="00CD4D07">
        <w:rPr>
          <w:i/>
          <w:iCs/>
        </w:rPr>
        <w:t>491</w:t>
      </w:r>
      <w:r>
        <w:t>, 22.</w:t>
      </w:r>
    </w:p>
    <w:p w14:paraId="28E613D6" w14:textId="7CE1400E" w:rsidR="00D11135" w:rsidRDefault="00674EA4" w:rsidP="00D11135">
      <w:pPr>
        <w:pStyle w:val="Akapitzlist"/>
        <w:numPr>
          <w:ilvl w:val="0"/>
          <w:numId w:val="1"/>
        </w:numPr>
        <w:ind w:left="426"/>
        <w:jc w:val="both"/>
      </w:pPr>
      <w:r>
        <w:t xml:space="preserve">Selzer, Y.; Turyan, I.; Mandler, D. </w:t>
      </w:r>
      <w:r w:rsidRPr="007C5573">
        <w:rPr>
          <w:i/>
          <w:iCs/>
        </w:rPr>
        <w:t>Phys. Chem. B</w:t>
      </w:r>
      <w:r>
        <w:t xml:space="preserve"> </w:t>
      </w:r>
      <w:r w:rsidRPr="007C5573">
        <w:rPr>
          <w:b/>
          <w:bCs/>
        </w:rPr>
        <w:t>1999</w:t>
      </w:r>
      <w:r>
        <w:t xml:space="preserve">, </w:t>
      </w:r>
      <w:r w:rsidRPr="007C5573">
        <w:rPr>
          <w:i/>
          <w:iCs/>
        </w:rPr>
        <w:t>103</w:t>
      </w:r>
      <w:r>
        <w:t>, 1509.</w:t>
      </w:r>
    </w:p>
    <w:p w14:paraId="31F46901" w14:textId="1AED0177" w:rsidR="00D11135" w:rsidRDefault="00674EA4" w:rsidP="00D11135">
      <w:pPr>
        <w:pStyle w:val="Akapitzlist"/>
        <w:numPr>
          <w:ilvl w:val="0"/>
          <w:numId w:val="1"/>
        </w:numPr>
        <w:ind w:left="426"/>
        <w:jc w:val="both"/>
      </w:pPr>
      <w:r>
        <w:t xml:space="preserve">Li, F.; Ciani, I.; Bertoncello, P.; Unwin, P.; Zhao, J.; Bradbury, C.; Fermin, D. </w:t>
      </w:r>
      <w:r w:rsidRPr="00843292">
        <w:rPr>
          <w:i/>
          <w:iCs/>
        </w:rPr>
        <w:t>J. Phys. Chem. C</w:t>
      </w:r>
      <w:r>
        <w:t xml:space="preserve"> </w:t>
      </w:r>
      <w:r w:rsidRPr="00843292">
        <w:rPr>
          <w:b/>
          <w:bCs/>
        </w:rPr>
        <w:t>2008</w:t>
      </w:r>
      <w:r>
        <w:t xml:space="preserve">, </w:t>
      </w:r>
      <w:r w:rsidRPr="00843292">
        <w:rPr>
          <w:i/>
          <w:iCs/>
        </w:rPr>
        <w:t>112</w:t>
      </w:r>
      <w:r>
        <w:t>, 9686.</w:t>
      </w:r>
    </w:p>
    <w:p w14:paraId="099BAEEC" w14:textId="7C232541" w:rsidR="00B84148" w:rsidRDefault="00674EA4" w:rsidP="00D11135">
      <w:pPr>
        <w:pStyle w:val="Akapitzlist"/>
        <w:numPr>
          <w:ilvl w:val="0"/>
          <w:numId w:val="1"/>
        </w:numPr>
        <w:ind w:left="426"/>
        <w:jc w:val="both"/>
      </w:pPr>
      <w:r>
        <w:t xml:space="preserve">Liang, Z.; Ahn, H. S.; Bard, A. </w:t>
      </w:r>
      <w:r w:rsidRPr="00424033">
        <w:rPr>
          <w:i/>
          <w:iCs/>
        </w:rPr>
        <w:t>J. Am. Chem. Soc.</w:t>
      </w:r>
      <w:r>
        <w:t xml:space="preserve"> </w:t>
      </w:r>
      <w:r w:rsidRPr="00424033">
        <w:rPr>
          <w:b/>
          <w:bCs/>
        </w:rPr>
        <w:t>2017</w:t>
      </w:r>
      <w:r>
        <w:t xml:space="preserve">, </w:t>
      </w:r>
      <w:r w:rsidRPr="00424033">
        <w:rPr>
          <w:i/>
          <w:iCs/>
        </w:rPr>
        <w:t>139</w:t>
      </w:r>
      <w:r>
        <w:t>, 4854.</w:t>
      </w:r>
    </w:p>
    <w:p w14:paraId="37594690"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574CD"/>
    <w:multiLevelType w:val="hybridMultilevel"/>
    <w:tmpl w:val="5C7A38F0"/>
    <w:lvl w:ilvl="0" w:tplc="146859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992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1025A"/>
    <w:rsid w:val="00041EFD"/>
    <w:rsid w:val="000428C5"/>
    <w:rsid w:val="000A1A7F"/>
    <w:rsid w:val="000B2C88"/>
    <w:rsid w:val="001B17F5"/>
    <w:rsid w:val="002626A7"/>
    <w:rsid w:val="003201A1"/>
    <w:rsid w:val="00325004"/>
    <w:rsid w:val="00390B06"/>
    <w:rsid w:val="003A0A74"/>
    <w:rsid w:val="00404C0F"/>
    <w:rsid w:val="00424033"/>
    <w:rsid w:val="004858AD"/>
    <w:rsid w:val="00536366"/>
    <w:rsid w:val="005C7C2B"/>
    <w:rsid w:val="0061369F"/>
    <w:rsid w:val="00615EFD"/>
    <w:rsid w:val="00674EA4"/>
    <w:rsid w:val="00685C1A"/>
    <w:rsid w:val="00687AEA"/>
    <w:rsid w:val="006C4910"/>
    <w:rsid w:val="007C16AB"/>
    <w:rsid w:val="007C5573"/>
    <w:rsid w:val="00843292"/>
    <w:rsid w:val="0085734A"/>
    <w:rsid w:val="00876985"/>
    <w:rsid w:val="008B61D9"/>
    <w:rsid w:val="008D3953"/>
    <w:rsid w:val="00A32088"/>
    <w:rsid w:val="00A91191"/>
    <w:rsid w:val="00B84148"/>
    <w:rsid w:val="00BA65F2"/>
    <w:rsid w:val="00BA7E7F"/>
    <w:rsid w:val="00C161C3"/>
    <w:rsid w:val="00C7389C"/>
    <w:rsid w:val="00CD4D07"/>
    <w:rsid w:val="00D11135"/>
    <w:rsid w:val="00D2491E"/>
    <w:rsid w:val="00D404B1"/>
    <w:rsid w:val="00E0716D"/>
    <w:rsid w:val="00F04DDF"/>
    <w:rsid w:val="00F31931"/>
    <w:rsid w:val="00F3744E"/>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594677"/>
  <w14:defaultImageDpi w14:val="300"/>
  <w15:docId w15:val="{CA22387A-320C-4C98-8440-F3426A6E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37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469</Words>
  <Characters>2498</Characters>
  <Application>Microsoft Office Word</Application>
  <DocSecurity>0</DocSecurity>
  <Lines>49</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Wojciech Nogala</cp:lastModifiedBy>
  <cp:revision>38</cp:revision>
  <cp:lastPrinted>2013-10-21T12:07:00Z</cp:lastPrinted>
  <dcterms:created xsi:type="dcterms:W3CDTF">2026-06-02T00:55:00Z</dcterms:created>
  <dcterms:modified xsi:type="dcterms:W3CDTF">2026-06-02T01:33:00Z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291603d6-6126-4241-bfa7-e40bf99c96aa</vt:lpwstr>
  </property>
</Properties>
</file>