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73495" w14:textId="6A33CD6F" w:rsidR="001A13E7" w:rsidRPr="001A13E7" w:rsidRDefault="001A13E7" w:rsidP="001A13E7">
      <w:pPr>
        <w:jc w:val="center"/>
        <w:rPr>
          <w:b/>
          <w:bCs/>
          <w:sz w:val="28"/>
          <w:szCs w:val="28"/>
        </w:rPr>
      </w:pPr>
      <w:r w:rsidRPr="001A13E7">
        <w:rPr>
          <w:b/>
          <w:bCs/>
          <w:sz w:val="28"/>
          <w:szCs w:val="28"/>
        </w:rPr>
        <w:t xml:space="preserve">Probing High-Voltage Degradation in Ni-Rich </w:t>
      </w:r>
      <w:r w:rsidRPr="00EA06D5">
        <w:rPr>
          <w:b/>
          <w:bCs/>
          <w:sz w:val="28"/>
          <w:szCs w:val="28"/>
        </w:rPr>
        <w:t>NMC</w:t>
      </w:r>
      <w:r w:rsidR="00EA06D5" w:rsidRPr="00EA06D5">
        <w:rPr>
          <w:b/>
          <w:bCs/>
          <w:sz w:val="28"/>
          <w:szCs w:val="28"/>
        </w:rPr>
        <w:t>-</w:t>
      </w:r>
      <w:r w:rsidR="00687192" w:rsidRPr="00EA06D5">
        <w:rPr>
          <w:b/>
          <w:bCs/>
          <w:sz w:val="28"/>
          <w:szCs w:val="28"/>
        </w:rPr>
        <w:t>B</w:t>
      </w:r>
      <w:r w:rsidR="00DC578A" w:rsidRPr="00EA06D5">
        <w:rPr>
          <w:b/>
          <w:bCs/>
          <w:sz w:val="28"/>
          <w:szCs w:val="28"/>
        </w:rPr>
        <w:t>ased</w:t>
      </w:r>
      <w:r w:rsidR="00DC578A">
        <w:rPr>
          <w:b/>
          <w:bCs/>
          <w:sz w:val="28"/>
          <w:szCs w:val="28"/>
        </w:rPr>
        <w:t xml:space="preserve"> </w:t>
      </w:r>
      <w:r w:rsidR="00EA06D5">
        <w:rPr>
          <w:b/>
          <w:bCs/>
          <w:sz w:val="28"/>
          <w:szCs w:val="28"/>
        </w:rPr>
        <w:br/>
      </w:r>
      <w:r w:rsidR="00687192">
        <w:rPr>
          <w:b/>
          <w:bCs/>
          <w:sz w:val="28"/>
          <w:szCs w:val="28"/>
        </w:rPr>
        <w:t>L</w:t>
      </w:r>
      <w:r w:rsidR="00DC578A">
        <w:rPr>
          <w:b/>
          <w:bCs/>
          <w:sz w:val="28"/>
          <w:szCs w:val="28"/>
        </w:rPr>
        <w:t>ithium-</w:t>
      </w:r>
      <w:r w:rsidR="00687192">
        <w:rPr>
          <w:b/>
          <w:bCs/>
          <w:sz w:val="28"/>
          <w:szCs w:val="28"/>
        </w:rPr>
        <w:t>I</w:t>
      </w:r>
      <w:r w:rsidR="00DC578A">
        <w:rPr>
          <w:b/>
          <w:bCs/>
          <w:sz w:val="28"/>
          <w:szCs w:val="28"/>
        </w:rPr>
        <w:t xml:space="preserve">on </w:t>
      </w:r>
      <w:r w:rsidR="00687192">
        <w:rPr>
          <w:b/>
          <w:bCs/>
          <w:sz w:val="28"/>
          <w:szCs w:val="28"/>
        </w:rPr>
        <w:t>C</w:t>
      </w:r>
      <w:r w:rsidR="00DC578A">
        <w:rPr>
          <w:b/>
          <w:bCs/>
          <w:sz w:val="28"/>
          <w:szCs w:val="28"/>
        </w:rPr>
        <w:t>ells</w:t>
      </w:r>
      <w:r w:rsidRPr="001A13E7">
        <w:rPr>
          <w:b/>
          <w:bCs/>
          <w:sz w:val="28"/>
          <w:szCs w:val="28"/>
        </w:rPr>
        <w:t xml:space="preserve"> via In</w:t>
      </w:r>
      <w:r w:rsidR="00EA06D5">
        <w:rPr>
          <w:b/>
          <w:bCs/>
          <w:sz w:val="28"/>
          <w:szCs w:val="28"/>
        </w:rPr>
        <w:t xml:space="preserve"> </w:t>
      </w:r>
      <w:r w:rsidRPr="001A13E7">
        <w:rPr>
          <w:b/>
          <w:bCs/>
          <w:sz w:val="28"/>
          <w:szCs w:val="28"/>
        </w:rPr>
        <w:t xml:space="preserve">Situ </w:t>
      </w:r>
      <w:r w:rsidR="00DC578A">
        <w:rPr>
          <w:b/>
          <w:bCs/>
          <w:sz w:val="28"/>
          <w:szCs w:val="28"/>
        </w:rPr>
        <w:t>X-ray Diffraction</w:t>
      </w:r>
    </w:p>
    <w:p w14:paraId="2FC1FD90" w14:textId="77777777" w:rsidR="00325004" w:rsidRPr="00A86EB9" w:rsidRDefault="00325004" w:rsidP="00E0716D">
      <w:pPr>
        <w:jc w:val="center"/>
        <w:rPr>
          <w:b/>
          <w:sz w:val="28"/>
        </w:rPr>
      </w:pPr>
    </w:p>
    <w:p w14:paraId="1EB1EF4A" w14:textId="17740F37" w:rsidR="001A13E7" w:rsidRPr="001A13E7" w:rsidRDefault="001A13E7" w:rsidP="001A13E7">
      <w:pPr>
        <w:jc w:val="center"/>
        <w:rPr>
          <w:i/>
        </w:rPr>
      </w:pPr>
      <w:r w:rsidRPr="001A13E7">
        <w:rPr>
          <w:u w:val="single"/>
        </w:rPr>
        <w:t>Paweł Stępnicki</w:t>
      </w:r>
      <w:r w:rsidR="003405C7">
        <w:rPr>
          <w:u w:val="single"/>
        </w:rPr>
        <w:t xml:space="preserve"> </w:t>
      </w:r>
      <w:r w:rsidR="003405C7" w:rsidRPr="003405C7">
        <w:rPr>
          <w:u w:val="single"/>
          <w:vertAlign w:val="superscript"/>
        </w:rPr>
        <w:t>1</w:t>
      </w:r>
      <w:r w:rsidR="00325004">
        <w:t xml:space="preserve">, </w:t>
      </w:r>
      <w:r w:rsidR="00687192">
        <w:t xml:space="preserve">Alicja </w:t>
      </w:r>
      <w:proofErr w:type="spellStart"/>
      <w:r w:rsidR="00687192">
        <w:t>Głaszczka</w:t>
      </w:r>
      <w:proofErr w:type="spellEnd"/>
      <w:r w:rsidR="00687192">
        <w:t xml:space="preserve">-Ciftci </w:t>
      </w:r>
      <w:r w:rsidR="00687192" w:rsidRPr="00687192">
        <w:rPr>
          <w:vertAlign w:val="superscript"/>
        </w:rPr>
        <w:t>1</w:t>
      </w:r>
      <w:r w:rsidR="00687192">
        <w:t xml:space="preserve">, </w:t>
      </w:r>
      <w:r w:rsidRPr="001A13E7">
        <w:t xml:space="preserve">Dominika A. Buchberger </w:t>
      </w:r>
      <w:r w:rsidRPr="003405C7">
        <w:rPr>
          <w:vertAlign w:val="superscript"/>
        </w:rPr>
        <w:t>1</w:t>
      </w:r>
      <w:r w:rsidRPr="001A13E7">
        <w:t xml:space="preserve">, Andrzej </w:t>
      </w:r>
      <w:proofErr w:type="spellStart"/>
      <w:r w:rsidRPr="001A13E7">
        <w:t>Czerwiński</w:t>
      </w:r>
      <w:proofErr w:type="spellEnd"/>
      <w:r w:rsidRPr="001A13E7">
        <w:t xml:space="preserve"> </w:t>
      </w:r>
      <w:r w:rsidRPr="003405C7">
        <w:rPr>
          <w:vertAlign w:val="superscript"/>
        </w:rPr>
        <w:t>1</w:t>
      </w:r>
      <w:r w:rsidRPr="001A13E7">
        <w:t xml:space="preserve">, </w:t>
      </w:r>
      <w:r w:rsidR="00EA06D5">
        <w:br/>
      </w:r>
      <w:r w:rsidRPr="001A13E7">
        <w:t xml:space="preserve">Ioanna M. </w:t>
      </w:r>
      <w:proofErr w:type="spellStart"/>
      <w:r w:rsidRPr="001A13E7">
        <w:t>Pateli</w:t>
      </w:r>
      <w:proofErr w:type="spellEnd"/>
      <w:r w:rsidRPr="001A13E7">
        <w:t xml:space="preserve"> </w:t>
      </w:r>
      <w:r w:rsidRPr="003405C7">
        <w:rPr>
          <w:vertAlign w:val="superscript"/>
        </w:rPr>
        <w:t>2</w:t>
      </w:r>
      <w:r w:rsidRPr="001A13E7">
        <w:t xml:space="preserve">, Oxana V. </w:t>
      </w:r>
      <w:proofErr w:type="spellStart"/>
      <w:r w:rsidRPr="001A13E7">
        <w:t>Magdysyuk</w:t>
      </w:r>
      <w:proofErr w:type="spellEnd"/>
      <w:r w:rsidRPr="001A13E7">
        <w:t xml:space="preserve"> </w:t>
      </w:r>
      <w:r w:rsidRPr="003405C7">
        <w:rPr>
          <w:vertAlign w:val="superscript"/>
        </w:rPr>
        <w:t>2</w:t>
      </w:r>
      <w:r w:rsidRPr="001A13E7">
        <w:t xml:space="preserve">, John T.S. Irvine </w:t>
      </w:r>
      <w:r w:rsidRPr="003405C7">
        <w:rPr>
          <w:vertAlign w:val="superscript"/>
        </w:rPr>
        <w:t>2</w:t>
      </w:r>
      <w:r>
        <w:br/>
      </w:r>
      <w:r w:rsidRPr="001A13E7">
        <w:rPr>
          <w:i/>
        </w:rPr>
        <w:t>1 University of Warsaw, Faculty of Chemistry, Ludwika Pasteura 1, 02-093 Warsaw, Poland</w:t>
      </w:r>
    </w:p>
    <w:p w14:paraId="157C2011" w14:textId="01591537" w:rsidR="00685C1A" w:rsidRDefault="001A13E7" w:rsidP="001A13E7">
      <w:pPr>
        <w:jc w:val="center"/>
        <w:rPr>
          <w:i/>
        </w:rPr>
      </w:pPr>
      <w:r w:rsidRPr="001A13E7">
        <w:rPr>
          <w:i/>
        </w:rPr>
        <w:t>2 School of Chemistry, University of St Andrews, St Andrews, KY16 9ST, UK</w:t>
      </w:r>
      <w:r>
        <w:rPr>
          <w:i/>
        </w:rPr>
        <w:br/>
      </w:r>
      <w:hyperlink r:id="rId4" w:history="1">
        <w:r w:rsidR="003405C7" w:rsidRPr="00A36B47">
          <w:rPr>
            <w:rStyle w:val="Hipercze"/>
            <w:i/>
          </w:rPr>
          <w:t>p.stepnicki@uw.edu.pl</w:t>
        </w:r>
      </w:hyperlink>
    </w:p>
    <w:p w14:paraId="106B192C" w14:textId="77777777" w:rsidR="003405C7" w:rsidRDefault="003405C7" w:rsidP="003405C7">
      <w:pPr>
        <w:jc w:val="both"/>
        <w:rPr>
          <w:i/>
        </w:rPr>
      </w:pPr>
    </w:p>
    <w:p w14:paraId="598992B4" w14:textId="03D9D578" w:rsidR="00D763A0" w:rsidRDefault="003405C7" w:rsidP="003405C7">
      <w:pPr>
        <w:jc w:val="both"/>
        <w:rPr>
          <w:iCs/>
        </w:rPr>
      </w:pPr>
      <w:r w:rsidRPr="003405C7">
        <w:rPr>
          <w:iCs/>
        </w:rPr>
        <w:t>To satisfy the growing demand for high-energy-density lithium-ion systems, nickel-rich layered oxides have attracted substantial interest due to their high reversible capacities and reduced reliance on cobalt. However, operating these materials beyond standard cut-off voltages introduces severe performance and stability challenges. For instance, exceeding upper limits of 4.3 V for NMC 622 and 4.1 V vs. Li/Li</w:t>
      </w:r>
      <w:r w:rsidRPr="003405C7">
        <w:rPr>
          <w:iCs/>
          <w:vertAlign w:val="superscript"/>
        </w:rPr>
        <w:t>+</w:t>
      </w:r>
      <w:r w:rsidRPr="003405C7">
        <w:rPr>
          <w:iCs/>
        </w:rPr>
        <w:t xml:space="preserve"> for NMC 811 triggers structural degradation, phase transitions, lattice oxygen evolution, and irreversible transition-metal redox shifts </w:t>
      </w:r>
      <w:r w:rsidRPr="003405C7">
        <w:rPr>
          <w:iCs/>
          <w:vertAlign w:val="superscript"/>
        </w:rPr>
        <w:t>1</w:t>
      </w:r>
      <w:r w:rsidRPr="003405C7">
        <w:rPr>
          <w:iCs/>
        </w:rPr>
        <w:t xml:space="preserve">. Critically, this degradation is driven not only by the operational voltage thresholds but also by the specific charging methodology employed. Constant-current protocols exhibit distinct degradation behaviors compared to combined constant-current constant-voltage configurations, yet the fundamental mechanisms behind these variations remain poorly understood </w:t>
      </w:r>
      <w:r w:rsidRPr="003405C7">
        <w:rPr>
          <w:iCs/>
          <w:vertAlign w:val="superscript"/>
        </w:rPr>
        <w:t>2</w:t>
      </w:r>
      <w:r w:rsidRPr="003405C7">
        <w:rPr>
          <w:iCs/>
        </w:rPr>
        <w:t xml:space="preserve">. Investigating these phenomena requires real-time monitoring during electrochemical cycling rather than relying solely on </w:t>
      </w:r>
      <w:r>
        <w:rPr>
          <w:iCs/>
        </w:rPr>
        <w:br/>
      </w:r>
      <w:r w:rsidRPr="003405C7">
        <w:rPr>
          <w:iCs/>
        </w:rPr>
        <w:t xml:space="preserve">post-mortem evaluations, making in-situ and operando diagnostics essential. </w:t>
      </w:r>
    </w:p>
    <w:p w14:paraId="793139E7" w14:textId="2402274A" w:rsidR="003405C7" w:rsidRDefault="00D763A0" w:rsidP="003405C7">
      <w:pPr>
        <w:jc w:val="both"/>
        <w:rPr>
          <w:iCs/>
        </w:rPr>
      </w:pPr>
      <w:r w:rsidRPr="00D763A0">
        <w:rPr>
          <w:iCs/>
        </w:rPr>
        <w:t xml:space="preserve">Here, in-situ X-ray diffraction (XRD) is utilized to map global structural transitions by tracking lattice parameter dynamics and phase fractions during lithium </w:t>
      </w:r>
      <w:r w:rsidRPr="003405C7">
        <w:rPr>
          <w:iCs/>
        </w:rPr>
        <w:t>(de)intercalation</w:t>
      </w:r>
      <w:r w:rsidR="005457FA">
        <w:rPr>
          <w:iCs/>
        </w:rPr>
        <w:t xml:space="preserve"> </w:t>
      </w:r>
      <w:r>
        <w:rPr>
          <w:iCs/>
          <w:vertAlign w:val="superscript"/>
        </w:rPr>
        <w:t>3</w:t>
      </w:r>
      <w:r w:rsidRPr="003405C7">
        <w:rPr>
          <w:iCs/>
        </w:rPr>
        <w:t>.</w:t>
      </w:r>
      <w:r w:rsidR="005457FA">
        <w:rPr>
          <w:iCs/>
        </w:rPr>
        <w:t xml:space="preserve"> </w:t>
      </w:r>
      <w:r w:rsidRPr="00D763A0">
        <w:rPr>
          <w:iCs/>
        </w:rPr>
        <w:t>This diagnostic approach provides direct insights into the bulk degradation pathways, linking electrochemical parameters directly to structural responses. This study evaluates NMC 622 and NMC 811 across widened voltage windows under different charging protocols</w:t>
      </w:r>
      <w:r w:rsidR="009A252C">
        <w:rPr>
          <w:iCs/>
        </w:rPr>
        <w:t>,</w:t>
      </w:r>
      <w:r w:rsidRPr="00D763A0">
        <w:rPr>
          <w:iCs/>
        </w:rPr>
        <w:t xml:space="preserve"> to clarify phase dynamics and lattice instabilities during cycling.</w:t>
      </w:r>
      <w:r w:rsidR="00235643">
        <w:rPr>
          <w:iCs/>
        </w:rPr>
        <w:t xml:space="preserve"> </w:t>
      </w:r>
      <w:r w:rsidR="003405C7" w:rsidRPr="003405C7">
        <w:rPr>
          <w:iCs/>
        </w:rPr>
        <w:t>Financial support for this research was provided by the National Science Center, Poland, through the Sonata BIS 11 program (Grant No. UMO-2021/42/E/ST5/00390). This work was also conducted in part at the University of St Andrews, alongside the JTSI research group.</w:t>
      </w:r>
    </w:p>
    <w:p w14:paraId="3B2C6314" w14:textId="77777777" w:rsidR="003405C7" w:rsidRDefault="003405C7" w:rsidP="003405C7">
      <w:pPr>
        <w:jc w:val="both"/>
        <w:rPr>
          <w:iCs/>
        </w:rPr>
      </w:pPr>
    </w:p>
    <w:p w14:paraId="13B3AB30" w14:textId="77777777" w:rsidR="003405C7" w:rsidRPr="003405C7" w:rsidRDefault="003405C7" w:rsidP="003405C7">
      <w:pPr>
        <w:ind w:left="720" w:hanging="720"/>
        <w:jc w:val="both"/>
        <w:rPr>
          <w:iCs/>
        </w:rPr>
      </w:pPr>
      <w:r w:rsidRPr="003405C7">
        <w:rPr>
          <w:iCs/>
        </w:rPr>
        <w:t>1.</w:t>
      </w:r>
      <w:r w:rsidRPr="003405C7">
        <w:rPr>
          <w:iCs/>
        </w:rPr>
        <w:tab/>
        <w:t>Quilty, C. D. et al. Probing Sources of Capacity Fade in LiNi0.6Mn0.2Co0.2O2 (NMC622): An Operando XRD Study of Li/NMC622 Batteries during Extended Cycling. Journal of Physical Chemistry C 124, 8119–8128 (2020).</w:t>
      </w:r>
    </w:p>
    <w:p w14:paraId="1A43DAA5" w14:textId="7318DE34" w:rsidR="003405C7" w:rsidRPr="003405C7" w:rsidRDefault="003405C7" w:rsidP="001A232D">
      <w:pPr>
        <w:ind w:left="720" w:hanging="720"/>
        <w:jc w:val="both"/>
        <w:rPr>
          <w:iCs/>
        </w:rPr>
      </w:pPr>
      <w:r w:rsidRPr="003405C7">
        <w:rPr>
          <w:iCs/>
        </w:rPr>
        <w:t>2.</w:t>
      </w:r>
      <w:r w:rsidRPr="003405C7">
        <w:rPr>
          <w:iCs/>
        </w:rPr>
        <w:tab/>
        <w:t>Liu, J. et al. Pathways for practical high-energy long-cycling lithium metal batteries. Nature Energy vol. 4 180–186 Preprint at https://doi.org/10.1038/s41560-019-0338-x (2019).</w:t>
      </w:r>
    </w:p>
    <w:p w14:paraId="3827A783" w14:textId="5FF687E3" w:rsidR="003405C7" w:rsidRPr="003405C7" w:rsidRDefault="001A232D" w:rsidP="003405C7">
      <w:pPr>
        <w:ind w:left="720" w:hanging="720"/>
        <w:jc w:val="both"/>
        <w:rPr>
          <w:iCs/>
        </w:rPr>
      </w:pPr>
      <w:r>
        <w:rPr>
          <w:iCs/>
        </w:rPr>
        <w:t>3</w:t>
      </w:r>
      <w:r w:rsidR="003405C7" w:rsidRPr="003405C7">
        <w:rPr>
          <w:iCs/>
        </w:rPr>
        <w:t>.</w:t>
      </w:r>
      <w:r w:rsidR="003405C7" w:rsidRPr="003405C7">
        <w:rPr>
          <w:iCs/>
        </w:rPr>
        <w:tab/>
        <w:t>Nisbet, M. L. et al. In Situ Diffraction and Ex Situ Transmission X-Ray Microscopy Studies of Solid-State Upcycling for NMC Cathodes. Adv. Energy Mater. https://doi.org/10.1002/aenm.202500698 (2025) doi:10.1002/aenm.202500698.</w:t>
      </w:r>
    </w:p>
    <w:p w14:paraId="2779C419" w14:textId="77777777" w:rsidR="003405C7" w:rsidRPr="003405C7" w:rsidRDefault="003405C7" w:rsidP="003405C7">
      <w:pPr>
        <w:jc w:val="both"/>
        <w:rPr>
          <w:iCs/>
        </w:rPr>
      </w:pPr>
    </w:p>
    <w:p w14:paraId="43B187A0" w14:textId="77777777" w:rsidR="003405C7" w:rsidRPr="003405C7" w:rsidRDefault="003405C7" w:rsidP="003405C7">
      <w:pPr>
        <w:jc w:val="both"/>
        <w:rPr>
          <w:iCs/>
        </w:rPr>
      </w:pPr>
    </w:p>
    <w:p w14:paraId="49E6845B" w14:textId="77777777" w:rsidR="001A13E7" w:rsidRDefault="001A13E7" w:rsidP="001A13E7">
      <w:pPr>
        <w:jc w:val="center"/>
        <w:rPr>
          <w:i/>
        </w:rPr>
      </w:pPr>
    </w:p>
    <w:p w14:paraId="4A8C59DD" w14:textId="77777777" w:rsidR="001A13E7" w:rsidRPr="00685C1A" w:rsidRDefault="001A13E7" w:rsidP="001A13E7">
      <w:pPr>
        <w:jc w:val="center"/>
        <w:rPr>
          <w:i/>
        </w:rPr>
      </w:pPr>
    </w:p>
    <w:p w14:paraId="31EF112B" w14:textId="77777777" w:rsidR="00325004" w:rsidRDefault="00325004" w:rsidP="00E0716D">
      <w:pPr>
        <w:jc w:val="both"/>
      </w:pPr>
    </w:p>
    <w:p w14:paraId="3B7268CD" w14:textId="77777777" w:rsidR="00325004" w:rsidRDefault="00325004" w:rsidP="00E0716D">
      <w:pPr>
        <w:jc w:val="both"/>
      </w:pPr>
    </w:p>
    <w:p w14:paraId="2F2B5392" w14:textId="77777777" w:rsidR="00E0716D" w:rsidRDefault="00E0716D" w:rsidP="00E0716D">
      <w:pPr>
        <w:jc w:val="both"/>
      </w:pPr>
    </w:p>
    <w:sectPr w:rsidR="00E0716D"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41EFD"/>
    <w:rsid w:val="00147A6A"/>
    <w:rsid w:val="001A13E7"/>
    <w:rsid w:val="001A232D"/>
    <w:rsid w:val="001F325B"/>
    <w:rsid w:val="00235643"/>
    <w:rsid w:val="00295941"/>
    <w:rsid w:val="00325004"/>
    <w:rsid w:val="003405C7"/>
    <w:rsid w:val="00536366"/>
    <w:rsid w:val="005457FA"/>
    <w:rsid w:val="00685C1A"/>
    <w:rsid w:val="00687192"/>
    <w:rsid w:val="009A252C"/>
    <w:rsid w:val="00A27158"/>
    <w:rsid w:val="00D5458D"/>
    <w:rsid w:val="00D64E90"/>
    <w:rsid w:val="00D763A0"/>
    <w:rsid w:val="00DC578A"/>
    <w:rsid w:val="00E0716D"/>
    <w:rsid w:val="00EA06D5"/>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18382CD"/>
  <w14:defaultImageDpi w14:val="300"/>
  <w15:docId w15:val="{22703BE8-6EE9-4887-83DB-413DD578F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0716D"/>
    <w:pPr>
      <w:widowControl w:val="0"/>
    </w:pPr>
    <w:rPr>
      <w:snapToGrid w:val="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3405C7"/>
    <w:rPr>
      <w:color w:val="0000FF" w:themeColor="hyperlink"/>
      <w:u w:val="single"/>
    </w:rPr>
  </w:style>
  <w:style w:type="character" w:styleId="Nierozpoznanawzmianka">
    <w:name w:val="Unresolved Mention"/>
    <w:basedOn w:val="Domylnaczcionkaakapitu"/>
    <w:uiPriority w:val="99"/>
    <w:semiHidden/>
    <w:unhideWhenUsed/>
    <w:rsid w:val="003405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p.stepnicki@uw.edu.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430</Words>
  <Characters>2586</Characters>
  <Application>Microsoft Office Word</Application>
  <DocSecurity>0</DocSecurity>
  <Lines>21</Lines>
  <Paragraphs>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Title</vt:lpstr>
      <vt:lpstr>Title</vt:lpstr>
    </vt:vector>
  </TitlesOfParts>
  <Company>Electrochemical Society</Company>
  <LinksUpToDate>false</LinksUpToDate>
  <CharactersWithSpaces>3010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Paweł Stępnicki</cp:lastModifiedBy>
  <cp:revision>5</cp:revision>
  <cp:lastPrinted>2013-10-21T12:07:00Z</cp:lastPrinted>
  <dcterms:created xsi:type="dcterms:W3CDTF">2026-05-31T13:13:00Z</dcterms:created>
  <dcterms:modified xsi:type="dcterms:W3CDTF">2026-06-01T13:58:00Z</dcterms:modified>
</cp:coreProperties>
</file>