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EB7AD" w14:textId="1B997639" w:rsidR="00FA75FC" w:rsidRPr="005E25B4" w:rsidRDefault="005E25B4" w:rsidP="005E25B4">
      <w:pPr>
        <w:pStyle w:val="FirstParagraph"/>
        <w:jc w:val="center"/>
        <w:rPr>
          <w:rFonts w:ascii="Times New Roman" w:hAnsi="Times New Roman" w:cs="Times New Roman"/>
          <w:sz w:val="28"/>
          <w:szCs w:val="28"/>
        </w:rPr>
      </w:pPr>
      <w:r w:rsidRPr="005E25B4">
        <w:rPr>
          <w:rFonts w:ascii="Times New Roman" w:hAnsi="Times New Roman" w:cs="Times New Roman"/>
          <w:b/>
          <w:bCs/>
          <w:sz w:val="28"/>
          <w:szCs w:val="28"/>
        </w:rPr>
        <w:t>Electrochemical Etching of Nickel Foam via Controlled Acid Cycling for Enhanced HER Performance</w:t>
      </w:r>
    </w:p>
    <w:p w14:paraId="2F2408FC" w14:textId="77777777" w:rsidR="00325004" w:rsidRPr="00A86EB9" w:rsidRDefault="00325004" w:rsidP="00E0716D">
      <w:pPr>
        <w:jc w:val="center"/>
        <w:rPr>
          <w:b/>
          <w:sz w:val="28"/>
        </w:rPr>
      </w:pPr>
    </w:p>
    <w:p w14:paraId="5FE8BC9F" w14:textId="5767BA6B" w:rsidR="00384B0D" w:rsidRPr="00521192" w:rsidRDefault="00384B0D" w:rsidP="00384B0D">
      <w:pPr>
        <w:pStyle w:val="Textoindependiente"/>
        <w:jc w:val="center"/>
      </w:pPr>
      <w:r w:rsidRPr="00384B0D">
        <w:rPr>
          <w:b/>
          <w:bCs/>
          <w:u w:val="single"/>
        </w:rPr>
        <w:t>Rubén D. Velásquez Arbieto</w:t>
      </w:r>
      <w:r w:rsidRPr="00521192">
        <w:rPr>
          <w:b/>
          <w:bCs/>
          <w:vertAlign w:val="superscript"/>
        </w:rPr>
        <w:t>1*</w:t>
      </w:r>
      <w:r w:rsidRPr="00521192">
        <w:rPr>
          <w:b/>
          <w:bCs/>
        </w:rPr>
        <w:t>, José Luiz Da Silva</w:t>
      </w:r>
      <w:r w:rsidRPr="00521192">
        <w:rPr>
          <w:b/>
          <w:bCs/>
          <w:vertAlign w:val="superscript"/>
        </w:rPr>
        <w:t>1</w:t>
      </w:r>
      <w:r w:rsidRPr="00521192">
        <w:rPr>
          <w:b/>
          <w:bCs/>
        </w:rPr>
        <w:t>, Maria Gomez-Mingot</w:t>
      </w:r>
      <w:r w:rsidRPr="00521192">
        <w:rPr>
          <w:b/>
          <w:bCs/>
          <w:vertAlign w:val="superscript"/>
        </w:rPr>
        <w:t>2</w:t>
      </w:r>
      <w:r w:rsidRPr="00521192">
        <w:rPr>
          <w:b/>
          <w:bCs/>
        </w:rPr>
        <w:t>, Adolfo La Rosa-Toro</w:t>
      </w:r>
      <w:r w:rsidRPr="00521192">
        <w:rPr>
          <w:b/>
          <w:bCs/>
          <w:vertAlign w:val="superscript"/>
        </w:rPr>
        <w:t>1</w:t>
      </w:r>
    </w:p>
    <w:p w14:paraId="14796924" w14:textId="7E991B3D" w:rsidR="00325004" w:rsidRDefault="00325004" w:rsidP="00E0716D">
      <w:pPr>
        <w:jc w:val="center"/>
      </w:pPr>
    </w:p>
    <w:p w14:paraId="7F7B7F42" w14:textId="77777777" w:rsidR="00384B0D" w:rsidRPr="00521192" w:rsidRDefault="00384B0D" w:rsidP="00384B0D">
      <w:pPr>
        <w:pStyle w:val="Textoindependiente"/>
      </w:pPr>
      <w:r w:rsidRPr="00521192">
        <w:rPr>
          <w:i/>
          <w:iCs/>
          <w:vertAlign w:val="superscript"/>
        </w:rPr>
        <w:t>1</w:t>
      </w:r>
      <w:r w:rsidRPr="00521192">
        <w:rPr>
          <w:i/>
          <w:iCs/>
        </w:rPr>
        <w:t>Laboratorio de Investigación de Electroquímica Aplicada, Facultad de Ciencias, Universidad Nacional de Ingeniería, Av. Túpac Amaru 210, Lima 15333, Peru</w:t>
      </w:r>
      <w:r w:rsidRPr="00521192">
        <w:br/>
      </w:r>
      <w:r w:rsidRPr="00521192">
        <w:rPr>
          <w:i/>
          <w:iCs/>
          <w:vertAlign w:val="superscript"/>
        </w:rPr>
        <w:t>2</w:t>
      </w:r>
      <w:r w:rsidRPr="00521192">
        <w:rPr>
          <w:i/>
          <w:iCs/>
        </w:rPr>
        <w:t>Laboratoire de Chimie des Processus Biologiques, CNRS UMR 8229, Collège de France, Sorbonne Université, PSL Research University, 11 Place Marcelin Berthelot, Paris Cedex 05 75231, France</w:t>
      </w:r>
    </w:p>
    <w:p w14:paraId="2EE36DD3" w14:textId="19C69D21" w:rsidR="00325004" w:rsidRDefault="00325004" w:rsidP="00E0716D">
      <w:pPr>
        <w:jc w:val="center"/>
      </w:pPr>
    </w:p>
    <w:p w14:paraId="26EF11B7" w14:textId="49072232" w:rsidR="007E7EE8" w:rsidRPr="007E7EE8" w:rsidRDefault="007E7EE8" w:rsidP="00E0716D">
      <w:pPr>
        <w:jc w:val="center"/>
        <w:rPr>
          <w:i/>
          <w:iCs/>
        </w:rPr>
      </w:pPr>
      <w:r w:rsidRPr="007E7EE8">
        <w:rPr>
          <w:b/>
          <w:bCs/>
          <w:i/>
          <w:iCs/>
        </w:rPr>
        <w:t>Presenting author:</w:t>
      </w:r>
      <w:r w:rsidRPr="007E7EE8">
        <w:rPr>
          <w:i/>
          <w:iCs/>
        </w:rPr>
        <w:t xml:space="preserve"> Rubén D. Velásquez Arbieto</w:t>
      </w:r>
    </w:p>
    <w:p w14:paraId="65F91217" w14:textId="3C1C1F63" w:rsidR="00685C1A" w:rsidRPr="00685C1A" w:rsidRDefault="00685C1A" w:rsidP="00E0716D">
      <w:pPr>
        <w:jc w:val="center"/>
        <w:rPr>
          <w:i/>
        </w:rPr>
      </w:pPr>
      <w:r w:rsidRPr="00685C1A">
        <w:rPr>
          <w:i/>
        </w:rPr>
        <w:t>e-mail address</w:t>
      </w:r>
      <w:r w:rsidR="007E7EE8">
        <w:rPr>
          <w:i/>
        </w:rPr>
        <w:t>: r.velasquez.a@uni.pe</w:t>
      </w:r>
    </w:p>
    <w:p w14:paraId="1F37DF6A" w14:textId="77777777" w:rsidR="00325004" w:rsidRDefault="00325004" w:rsidP="00E0716D">
      <w:pPr>
        <w:jc w:val="center"/>
      </w:pPr>
    </w:p>
    <w:p w14:paraId="29737AD9" w14:textId="77777777" w:rsidR="00325004" w:rsidRDefault="00325004" w:rsidP="00E0716D">
      <w:pPr>
        <w:jc w:val="both"/>
      </w:pPr>
    </w:p>
    <w:p w14:paraId="1359FA3D" w14:textId="61B93176" w:rsidR="00480B55" w:rsidRPr="000B41BA" w:rsidRDefault="00480B55" w:rsidP="00480B55">
      <w:pPr>
        <w:pStyle w:val="Textoindependiente"/>
        <w:jc w:val="both"/>
      </w:pPr>
      <w:r w:rsidRPr="000B41BA">
        <w:t>Nickel foam (NF) is widely employed as a three-dimensional electrode substrate for alkaline water electrolysis due to its high conductivity, porous architecture, and intrinsic electrocatalytic activity. However, conventional acid activation methods are often based on highly concentrated acidic media and uncontrolled corrosion processes, resulting in heterogeneous surface modification and limited reproducibility. In this work, a controlled electrochemical etching strategy based on acid cycling in hydrochloric acid media was developed to tailor the surface morphology and electrochemical behavior of NF toward the hydrogen evolution reaction (HER)</w:t>
      </w:r>
      <w:r>
        <w:t xml:space="preserve"> </w:t>
      </w:r>
      <w:r w:rsidRPr="00480B55">
        <w:t>[1</w:t>
      </w:r>
      <w:r>
        <w:t>-3</w:t>
      </w:r>
      <w:r w:rsidRPr="00480B55">
        <w:t>]</w:t>
      </w:r>
      <w:r w:rsidRPr="000B41BA">
        <w:t>.</w:t>
      </w:r>
      <w:r>
        <w:t xml:space="preserve"> </w:t>
      </w:r>
      <w:r w:rsidRPr="000B41BA">
        <w:t>Electrochemical etching was performed in 0.5 and 2.5 mol L</w:t>
      </w:r>
      <w:r w:rsidRPr="000B41BA">
        <w:rPr>
          <w:vertAlign w:val="superscript"/>
        </w:rPr>
        <w:t>-1</w:t>
      </w:r>
      <w:r w:rsidRPr="000B41BA">
        <w:t xml:space="preserve"> HCl under controlled cathodic cycling conditions. Structural and compositional modifications were investigated by scanning electron microscopy (SEM), energy-dispersive X-ray spectroscopy (EDS), and X-ray diffraction (XRD), while electrochemical performance was evaluated in 1 mol L</w:t>
      </w:r>
      <w:r>
        <w:rPr>
          <w:vertAlign w:val="superscript"/>
        </w:rPr>
        <w:t>-1</w:t>
      </w:r>
      <w:r w:rsidRPr="000B41BA">
        <w:t xml:space="preserve"> KOH using cyclic voltammetry (CV) and linear sweep voltammetry (LSV).</w:t>
      </w:r>
      <w:r>
        <w:t xml:space="preserve"> </w:t>
      </w:r>
      <w:r w:rsidRPr="000B41BA">
        <w:t>The results reveal a cathodically assisted corrosion mechanism, in which hydrogen evolution promotes localized nickel dissolution and controlled surface restructuring while preserving the three-dimensional porous framework. Electrochemical treatment in 0.5 mol L</w:t>
      </w:r>
      <w:r>
        <w:rPr>
          <w:vertAlign w:val="superscript"/>
        </w:rPr>
        <w:t>-1</w:t>
      </w:r>
      <w:r w:rsidRPr="000B41BA">
        <w:t xml:space="preserve"> HCl produced a more homogeneous surface morphology with improved electrochemical reproducibility, whereas 2.5 mol L</w:t>
      </w:r>
      <w:r>
        <w:rPr>
          <w:vertAlign w:val="superscript"/>
        </w:rPr>
        <w:t>-1</w:t>
      </w:r>
      <w:r w:rsidRPr="000B41BA">
        <w:t xml:space="preserve"> HCl induced a more aggressive and heterogeneous restructuring process. The optimized sample (NF</w:t>
      </w:r>
      <w:r w:rsidRPr="000B41BA">
        <w:rPr>
          <w:vertAlign w:val="subscript"/>
        </w:rPr>
        <w:t>ee</w:t>
      </w:r>
      <w:r w:rsidRPr="000B41BA">
        <w:t>0.5N100V100) exhibited an improved HER kinetics and more homogeneous Ni(OH)</w:t>
      </w:r>
      <w:r>
        <w:rPr>
          <w:vertAlign w:val="subscript"/>
        </w:rPr>
        <w:t>2</w:t>
      </w:r>
      <w:r w:rsidRPr="000B41BA">
        <w:t>/NiOOH redox behavior in alkaline media.</w:t>
      </w:r>
      <w:r>
        <w:t xml:space="preserve"> </w:t>
      </w:r>
      <w:r w:rsidRPr="00480B55">
        <w:t>These findings demonstrate that controlled electrochemical acid cycling provides an effective and reproducible strategy for nickel foam cleaning and surface activation, enabling homogeneous restructuring while preserving the integrity of the porous metallic framework. The proposed method offers a simple and scalable route for preparing nickel foam substrates for subsequent electrochemical applications.</w:t>
      </w:r>
    </w:p>
    <w:p w14:paraId="4E3CA0B6" w14:textId="77777777" w:rsidR="00E0716D" w:rsidRDefault="00E0716D" w:rsidP="00E0716D">
      <w:pPr>
        <w:jc w:val="both"/>
      </w:pPr>
    </w:p>
    <w:p w14:paraId="366C6334" w14:textId="77777777" w:rsidR="00480B55" w:rsidRDefault="00480B55" w:rsidP="00480B55">
      <w:pPr>
        <w:pStyle w:val="Textoindependiente"/>
      </w:pPr>
      <w:r>
        <w:rPr>
          <w:b/>
          <w:bCs/>
        </w:rPr>
        <w:t>Keywords:</w:t>
      </w:r>
      <w:r>
        <w:t xml:space="preserve"> Nickel foam; Electrochemical etching; Hydrogen evolution reaction; Surface activation; Alkaline electrolysis.</w:t>
      </w:r>
    </w:p>
    <w:p w14:paraId="103A7EDF" w14:textId="77777777" w:rsidR="00480B55" w:rsidRPr="00480B55" w:rsidRDefault="00480B55" w:rsidP="00480B55"/>
    <w:p w14:paraId="0109E2FC" w14:textId="0EC1A621" w:rsidR="00480B55" w:rsidRDefault="00480B55" w:rsidP="00480B55">
      <w:pPr>
        <w:tabs>
          <w:tab w:val="left" w:pos="2184"/>
        </w:tabs>
        <w:jc w:val="both"/>
      </w:pPr>
      <w:r w:rsidRPr="00480B55">
        <w:t>Acknowledgements</w:t>
      </w:r>
      <w:r>
        <w:t>:</w:t>
      </w:r>
      <w:r w:rsidRPr="00480B55">
        <w:br/>
        <w:t xml:space="preserve">This work was funded by the </w:t>
      </w:r>
      <w:r w:rsidRPr="00480B55">
        <w:rPr>
          <w:i/>
          <w:iCs/>
        </w:rPr>
        <w:t>Consejo Nacional de Ciencia, Tecnología e Innovación Tecnológica</w:t>
      </w:r>
      <w:r w:rsidRPr="00480B55">
        <w:t xml:space="preserve"> (CONCYTEC) and </w:t>
      </w:r>
      <w:r w:rsidRPr="00480B55">
        <w:rPr>
          <w:i/>
          <w:iCs/>
        </w:rPr>
        <w:t>PROCIENCIA</w:t>
      </w:r>
      <w:r w:rsidRPr="00480B55">
        <w:t xml:space="preserve"> under the Research Grant E077-2023-01-BM, </w:t>
      </w:r>
      <w:r w:rsidRPr="00480B55">
        <w:rPr>
          <w:i/>
          <w:iCs/>
        </w:rPr>
        <w:t>“Scholarships for Doctoral Programs in Interinstitutional Alliances”</w:t>
      </w:r>
      <w:r w:rsidRPr="00480B55">
        <w:t xml:space="preserve"> [PE501093326-2024], and the Research Grant E033-2023-01-BM, </w:t>
      </w:r>
      <w:r w:rsidRPr="00480B55">
        <w:rPr>
          <w:i/>
          <w:iCs/>
        </w:rPr>
        <w:t>“Interinstitutional Alliances for Doctoral Programs”</w:t>
      </w:r>
      <w:r w:rsidRPr="00480B55">
        <w:t xml:space="preserve"> [PE501093326-2024].</w:t>
      </w:r>
    </w:p>
    <w:p w14:paraId="0762F78E" w14:textId="28AB706D" w:rsidR="00480B55" w:rsidRDefault="00480B55" w:rsidP="00480B55">
      <w:pPr>
        <w:tabs>
          <w:tab w:val="left" w:pos="2184"/>
        </w:tabs>
        <w:jc w:val="both"/>
      </w:pPr>
    </w:p>
    <w:p w14:paraId="28F1A764" w14:textId="55A9EF26" w:rsidR="00480B55" w:rsidRPr="00B0017A" w:rsidRDefault="00480B55" w:rsidP="00480B55">
      <w:pPr>
        <w:tabs>
          <w:tab w:val="left" w:pos="2184"/>
        </w:tabs>
        <w:jc w:val="both"/>
      </w:pPr>
      <w:r w:rsidRPr="00B0017A">
        <w:t xml:space="preserve">Reference: </w:t>
      </w:r>
    </w:p>
    <w:p w14:paraId="665B779D" w14:textId="77777777" w:rsidR="00480B55" w:rsidRPr="00480B55" w:rsidRDefault="00480B55" w:rsidP="00480B55">
      <w:pPr>
        <w:tabs>
          <w:tab w:val="left" w:pos="2184"/>
        </w:tabs>
        <w:jc w:val="both"/>
        <w:rPr>
          <w:lang w:val="es-PE"/>
        </w:rPr>
      </w:pPr>
      <w:r w:rsidRPr="00480B55">
        <w:rPr>
          <w:lang w:val="es-PE"/>
        </w:rPr>
        <w:t xml:space="preserve">[1] X. Hu, X. Tian, Y.-W. Lin, Z. Wang, </w:t>
      </w:r>
      <w:r w:rsidRPr="00480B55">
        <w:rPr>
          <w:i/>
          <w:iCs/>
          <w:lang w:val="es-PE"/>
        </w:rPr>
        <w:t>RSC Adv.</w:t>
      </w:r>
      <w:r w:rsidRPr="00480B55">
        <w:rPr>
          <w:lang w:val="es-PE"/>
        </w:rPr>
        <w:t xml:space="preserve"> 9 (2019) 31563–31571.</w:t>
      </w:r>
    </w:p>
    <w:p w14:paraId="5E08AD2F" w14:textId="77777777" w:rsidR="00480B55" w:rsidRPr="00480B55" w:rsidRDefault="00480B55" w:rsidP="00480B55">
      <w:pPr>
        <w:tabs>
          <w:tab w:val="left" w:pos="2184"/>
        </w:tabs>
        <w:jc w:val="both"/>
        <w:rPr>
          <w:lang w:val="es-PE"/>
        </w:rPr>
      </w:pPr>
      <w:r w:rsidRPr="00480B55">
        <w:rPr>
          <w:lang w:val="es-PE"/>
        </w:rPr>
        <w:t xml:space="preserve">[2] A. Bazan-Aguilar, G. García, E. Pastor, J.L. Rodríguez, A.M. Baena-Moncada, </w:t>
      </w:r>
      <w:proofErr w:type="spellStart"/>
      <w:r w:rsidRPr="00480B55">
        <w:rPr>
          <w:i/>
          <w:iCs/>
          <w:lang w:val="es-PE"/>
        </w:rPr>
        <w:t>Appl</w:t>
      </w:r>
      <w:proofErr w:type="spellEnd"/>
      <w:r w:rsidRPr="00480B55">
        <w:rPr>
          <w:i/>
          <w:iCs/>
          <w:lang w:val="es-PE"/>
        </w:rPr>
        <w:t xml:space="preserve">. </w:t>
      </w:r>
      <w:proofErr w:type="spellStart"/>
      <w:r w:rsidRPr="00480B55">
        <w:rPr>
          <w:i/>
          <w:iCs/>
          <w:lang w:val="es-PE"/>
        </w:rPr>
        <w:t>Catal</w:t>
      </w:r>
      <w:proofErr w:type="spellEnd"/>
      <w:r w:rsidRPr="00480B55">
        <w:rPr>
          <w:i/>
          <w:iCs/>
          <w:lang w:val="es-PE"/>
        </w:rPr>
        <w:t>. B Environ.</w:t>
      </w:r>
      <w:r w:rsidRPr="00480B55">
        <w:rPr>
          <w:lang w:val="es-PE"/>
        </w:rPr>
        <w:t xml:space="preserve"> 336 (2023) 122930.</w:t>
      </w:r>
    </w:p>
    <w:p w14:paraId="0DE8BFA4" w14:textId="77777777" w:rsidR="00480B55" w:rsidRPr="00480B55" w:rsidRDefault="00480B55" w:rsidP="00480B55">
      <w:pPr>
        <w:tabs>
          <w:tab w:val="left" w:pos="2184"/>
        </w:tabs>
        <w:jc w:val="both"/>
        <w:rPr>
          <w:lang w:val="es-PE"/>
        </w:rPr>
      </w:pPr>
      <w:r w:rsidRPr="00480B55">
        <w:rPr>
          <w:lang w:val="es-PE"/>
        </w:rPr>
        <w:t xml:space="preserve">[3] N.A.A. Bakar, N.A. Salleh, N.A.A. Hamid, C.A.C. Abdullah, W. Rahiman, W.J. </w:t>
      </w:r>
      <w:proofErr w:type="spellStart"/>
      <w:r w:rsidRPr="00480B55">
        <w:rPr>
          <w:lang w:val="es-PE"/>
        </w:rPr>
        <w:t>Basirun</w:t>
      </w:r>
      <w:proofErr w:type="spellEnd"/>
      <w:r w:rsidRPr="00480B55">
        <w:rPr>
          <w:lang w:val="es-PE"/>
        </w:rPr>
        <w:t xml:space="preserve">, S. Kheawhom, A.A. Mohamad, </w:t>
      </w:r>
      <w:r w:rsidRPr="00480B55">
        <w:rPr>
          <w:i/>
          <w:iCs/>
          <w:lang w:val="es-PE"/>
        </w:rPr>
        <w:t>Mater. Today Proc.</w:t>
      </w:r>
      <w:r w:rsidRPr="00480B55">
        <w:rPr>
          <w:lang w:val="es-PE"/>
        </w:rPr>
        <w:t xml:space="preserve"> 60 (2022) 1036–1041.</w:t>
      </w:r>
    </w:p>
    <w:p w14:paraId="5085A751" w14:textId="012AE9E4" w:rsidR="00480B55" w:rsidRPr="00480B55" w:rsidRDefault="00480B55" w:rsidP="00480B55">
      <w:pPr>
        <w:tabs>
          <w:tab w:val="left" w:pos="2184"/>
        </w:tabs>
        <w:jc w:val="both"/>
      </w:pPr>
    </w:p>
    <w:sectPr w:rsidR="00480B55" w:rsidRPr="00480B55" w:rsidSect="00F97641">
      <w:footnotePr>
        <w:numRestart w:val="eachSect"/>
      </w:footnotePr>
      <w:endnotePr>
        <w:numFmt w:val="decimal"/>
      </w:endnotePr>
      <w:pgSz w:w="11907" w:h="16840" w:code="9"/>
      <w:pgMar w:top="1701" w:right="1701" w:bottom="1701"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15936" w14:textId="77777777" w:rsidR="00354CB9" w:rsidRDefault="00354CB9" w:rsidP="005E25B4">
      <w:r>
        <w:separator/>
      </w:r>
    </w:p>
  </w:endnote>
  <w:endnote w:type="continuationSeparator" w:id="0">
    <w:p w14:paraId="29AF2DCE" w14:textId="77777777" w:rsidR="00354CB9" w:rsidRDefault="00354CB9" w:rsidP="005E2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2D9E1" w14:textId="77777777" w:rsidR="00354CB9" w:rsidRDefault="00354CB9" w:rsidP="005E25B4">
      <w:r>
        <w:separator/>
      </w:r>
    </w:p>
  </w:footnote>
  <w:footnote w:type="continuationSeparator" w:id="0">
    <w:p w14:paraId="34B0E3F1" w14:textId="77777777" w:rsidR="00354CB9" w:rsidRDefault="00354CB9" w:rsidP="005E25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94A89"/>
    <w:rsid w:val="00325004"/>
    <w:rsid w:val="00354CB9"/>
    <w:rsid w:val="00384B0D"/>
    <w:rsid w:val="00480B55"/>
    <w:rsid w:val="00517CCA"/>
    <w:rsid w:val="00536366"/>
    <w:rsid w:val="005E25B4"/>
    <w:rsid w:val="00685C1A"/>
    <w:rsid w:val="007E7EE8"/>
    <w:rsid w:val="00B0017A"/>
    <w:rsid w:val="00E0716D"/>
    <w:rsid w:val="00F97641"/>
    <w:rsid w:val="00FA75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A28D99"/>
  <w14:defaultImageDpi w14:val="300"/>
  <w15:docId w15:val="{05F5C816-6CAF-411E-95A5-F7EC81915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irstParagraph">
    <w:name w:val="First Paragraph"/>
    <w:basedOn w:val="Textoindependiente"/>
    <w:next w:val="Textoindependiente"/>
    <w:qFormat/>
    <w:rsid w:val="005E25B4"/>
    <w:pPr>
      <w:widowControl/>
      <w:spacing w:before="180" w:after="180"/>
    </w:pPr>
    <w:rPr>
      <w:rFonts w:asciiTheme="minorHAnsi" w:eastAsiaTheme="minorHAnsi" w:hAnsiTheme="minorHAnsi" w:cstheme="minorBidi"/>
      <w:snapToGrid/>
      <w:sz w:val="24"/>
      <w:szCs w:val="24"/>
    </w:rPr>
  </w:style>
  <w:style w:type="paragraph" w:styleId="Textoindependiente">
    <w:name w:val="Body Text"/>
    <w:basedOn w:val="Normal"/>
    <w:link w:val="TextoindependienteCar"/>
    <w:uiPriority w:val="99"/>
    <w:semiHidden/>
    <w:unhideWhenUsed/>
    <w:rsid w:val="005E25B4"/>
    <w:pPr>
      <w:spacing w:after="120"/>
    </w:pPr>
  </w:style>
  <w:style w:type="character" w:customStyle="1" w:styleId="TextoindependienteCar">
    <w:name w:val="Texto independiente Car"/>
    <w:basedOn w:val="Fuentedeprrafopredeter"/>
    <w:link w:val="Textoindependiente"/>
    <w:uiPriority w:val="99"/>
    <w:semiHidden/>
    <w:rsid w:val="005E25B4"/>
    <w:rPr>
      <w:snapToGrid w:val="0"/>
    </w:rPr>
  </w:style>
  <w:style w:type="paragraph" w:styleId="Encabezado">
    <w:name w:val="header"/>
    <w:basedOn w:val="Normal"/>
    <w:link w:val="EncabezadoCar"/>
    <w:uiPriority w:val="99"/>
    <w:unhideWhenUsed/>
    <w:rsid w:val="005E25B4"/>
    <w:pPr>
      <w:tabs>
        <w:tab w:val="center" w:pos="4252"/>
        <w:tab w:val="right" w:pos="8504"/>
      </w:tabs>
    </w:pPr>
  </w:style>
  <w:style w:type="character" w:customStyle="1" w:styleId="EncabezadoCar">
    <w:name w:val="Encabezado Car"/>
    <w:basedOn w:val="Fuentedeprrafopredeter"/>
    <w:link w:val="Encabezado"/>
    <w:uiPriority w:val="99"/>
    <w:rsid w:val="005E25B4"/>
    <w:rPr>
      <w:snapToGrid w:val="0"/>
    </w:rPr>
  </w:style>
  <w:style w:type="paragraph" w:styleId="Piedepgina">
    <w:name w:val="footer"/>
    <w:basedOn w:val="Normal"/>
    <w:link w:val="PiedepginaCar"/>
    <w:uiPriority w:val="99"/>
    <w:unhideWhenUsed/>
    <w:rsid w:val="005E25B4"/>
    <w:pPr>
      <w:tabs>
        <w:tab w:val="center" w:pos="4252"/>
        <w:tab w:val="right" w:pos="8504"/>
      </w:tabs>
    </w:pPr>
  </w:style>
  <w:style w:type="character" w:customStyle="1" w:styleId="PiedepginaCar">
    <w:name w:val="Pie de página Car"/>
    <w:basedOn w:val="Fuentedeprrafopredeter"/>
    <w:link w:val="Piedepgina"/>
    <w:uiPriority w:val="99"/>
    <w:rsid w:val="005E25B4"/>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928545">
      <w:bodyDiv w:val="1"/>
      <w:marLeft w:val="0"/>
      <w:marRight w:val="0"/>
      <w:marTop w:val="0"/>
      <w:marBottom w:val="0"/>
      <w:divBdr>
        <w:top w:val="none" w:sz="0" w:space="0" w:color="auto"/>
        <w:left w:val="none" w:sz="0" w:space="0" w:color="auto"/>
        <w:bottom w:val="none" w:sz="0" w:space="0" w:color="auto"/>
        <w:right w:val="none" w:sz="0" w:space="0" w:color="auto"/>
      </w:divBdr>
    </w:div>
    <w:div w:id="14622646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548</Words>
  <Characters>3014</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LENOVO</cp:lastModifiedBy>
  <cp:revision>4</cp:revision>
  <cp:lastPrinted>2013-10-21T12:07:00Z</cp:lastPrinted>
  <dcterms:created xsi:type="dcterms:W3CDTF">2026-06-01T22:01:00Z</dcterms:created>
  <dcterms:modified xsi:type="dcterms:W3CDTF">2026-06-01T22:01:00Z</dcterms:modified>
</cp:coreProperties>
</file>