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CD21" w14:textId="77777777" w:rsidR="002C1E7D" w:rsidRPr="001F1CCA" w:rsidRDefault="002C1E7D" w:rsidP="00D6592A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1F1CCA">
        <w:rPr>
          <w:rFonts w:ascii="Times New Roman" w:hAnsi="Times New Roman" w:cs="Times New Roman"/>
          <w:b/>
          <w:bCs/>
          <w:sz w:val="28"/>
          <w:szCs w:val="28"/>
          <w:lang w:val="en-GB"/>
        </w:rPr>
        <w:t>Can Ex Situ XRD Tell the Same Story as Synchrotron In Situ? Structural Insights into NMC111, NMC622, and NMC811</w:t>
      </w:r>
    </w:p>
    <w:p w14:paraId="681F9C9C" w14:textId="1170FADE" w:rsidR="002C1E7D" w:rsidRPr="000D47C1" w:rsidRDefault="00D6592A" w:rsidP="000D47C1">
      <w:pPr>
        <w:spacing w:after="0"/>
        <w:jc w:val="center"/>
        <w:rPr>
          <w:rFonts w:ascii="Times New Roman" w:hAnsi="Times New Roman" w:cs="Times New Roman"/>
        </w:rPr>
      </w:pPr>
      <w:r w:rsidRPr="001F1CCA">
        <w:rPr>
          <w:rFonts w:ascii="Times New Roman" w:hAnsi="Times New Roman" w:cs="Times New Roman"/>
          <w:u w:val="single"/>
        </w:rPr>
        <w:t>Alicja G</w:t>
      </w:r>
      <w:r w:rsidR="000D47C1">
        <w:rPr>
          <w:rFonts w:ascii="Times New Roman" w:hAnsi="Times New Roman" w:cs="Times New Roman"/>
          <w:u w:val="single"/>
        </w:rPr>
        <w:t>ł</w:t>
      </w:r>
      <w:r w:rsidRPr="001F1CCA">
        <w:rPr>
          <w:rFonts w:ascii="Times New Roman" w:hAnsi="Times New Roman" w:cs="Times New Roman"/>
          <w:u w:val="single"/>
        </w:rPr>
        <w:t>aszczka</w:t>
      </w:r>
      <w:r w:rsidR="00436D65">
        <w:rPr>
          <w:rFonts w:ascii="Times New Roman" w:hAnsi="Times New Roman" w:cs="Times New Roman"/>
          <w:u w:val="single"/>
        </w:rPr>
        <w:t>-Ciftci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  <w:r w:rsidRPr="00D6592A">
        <w:rPr>
          <w:rFonts w:ascii="Times New Roman" w:hAnsi="Times New Roman" w:cs="Times New Roman"/>
        </w:rPr>
        <w:t>, Paweł Stępnicki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  <w:r w:rsidRPr="00D6592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Sai Rashmi Manippady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Pr="00D6592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agdalena Winkowska-Struzik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Michał Struzik</w:t>
      </w:r>
      <w:r w:rsidR="000D47C1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, Dominika </w:t>
      </w:r>
      <w:r w:rsidR="000D47C1">
        <w:rPr>
          <w:rFonts w:ascii="Times New Roman" w:hAnsi="Times New Roman" w:cs="Times New Roman"/>
        </w:rPr>
        <w:t xml:space="preserve">A. </w:t>
      </w:r>
      <w:r>
        <w:rPr>
          <w:rFonts w:ascii="Times New Roman" w:hAnsi="Times New Roman" w:cs="Times New Roman"/>
        </w:rPr>
        <w:t>Buchberger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  <w:r w:rsidR="000D47C1">
        <w:rPr>
          <w:rFonts w:ascii="Times New Roman" w:hAnsi="Times New Roman" w:cs="Times New Roman"/>
        </w:rPr>
        <w:t>, Andrzej Czerwiński</w:t>
      </w:r>
      <w:r w:rsidR="000D47C1" w:rsidRPr="000D47C1">
        <w:rPr>
          <w:rFonts w:ascii="Times New Roman" w:hAnsi="Times New Roman" w:cs="Times New Roman"/>
          <w:vertAlign w:val="superscript"/>
        </w:rPr>
        <w:t>1</w:t>
      </w:r>
    </w:p>
    <w:p w14:paraId="4ED6D0CD" w14:textId="5435A515" w:rsidR="000D47C1" w:rsidRPr="000D47C1" w:rsidRDefault="000D47C1" w:rsidP="000D47C1">
      <w:pPr>
        <w:spacing w:after="0"/>
        <w:jc w:val="center"/>
        <w:rPr>
          <w:rFonts w:ascii="Times New Roman" w:hAnsi="Times New Roman" w:cs="Times New Roman"/>
          <w:i/>
          <w:iCs/>
          <w:lang w:val="en-GB"/>
        </w:rPr>
      </w:pPr>
      <w:r w:rsidRPr="000D47C1">
        <w:rPr>
          <w:rFonts w:ascii="Times New Roman" w:hAnsi="Times New Roman" w:cs="Times New Roman"/>
          <w:i/>
          <w:iCs/>
          <w:vertAlign w:val="superscript"/>
          <w:lang w:val="en-GB"/>
        </w:rPr>
        <w:t>1</w:t>
      </w:r>
      <w:r w:rsidRPr="000D47C1">
        <w:rPr>
          <w:rFonts w:ascii="Times New Roman" w:hAnsi="Times New Roman" w:cs="Times New Roman"/>
          <w:i/>
          <w:iCs/>
          <w:lang w:val="en-GB"/>
        </w:rPr>
        <w:t>University of Warsaw, Department of Chemistry</w:t>
      </w:r>
      <w:r w:rsidRPr="000D47C1">
        <w:rPr>
          <w:rFonts w:ascii="Times New Roman" w:hAnsi="Times New Roman" w:cs="Times New Roman"/>
          <w:i/>
          <w:iCs/>
          <w:lang w:val="en-GB"/>
        </w:rPr>
        <w:t>, Warsaw, Poland</w:t>
      </w:r>
    </w:p>
    <w:p w14:paraId="23170483" w14:textId="3496AE8A" w:rsidR="000D47C1" w:rsidRDefault="000D47C1" w:rsidP="000D47C1">
      <w:pPr>
        <w:spacing w:after="0"/>
        <w:jc w:val="center"/>
        <w:rPr>
          <w:rFonts w:ascii="Times New Roman" w:hAnsi="Times New Roman" w:cs="Times New Roman"/>
          <w:i/>
          <w:iCs/>
          <w:lang w:val="en-GB"/>
        </w:rPr>
      </w:pPr>
      <w:r w:rsidRPr="000D47C1">
        <w:rPr>
          <w:rFonts w:ascii="Times New Roman" w:hAnsi="Times New Roman" w:cs="Times New Roman"/>
          <w:i/>
          <w:iCs/>
          <w:vertAlign w:val="superscript"/>
          <w:lang w:val="en-GB"/>
        </w:rPr>
        <w:t>2</w:t>
      </w:r>
      <w:r w:rsidRPr="000D47C1">
        <w:rPr>
          <w:rFonts w:ascii="Times New Roman" w:hAnsi="Times New Roman" w:cs="Times New Roman"/>
          <w:i/>
          <w:iCs/>
          <w:lang w:val="en-GB"/>
        </w:rPr>
        <w:t>Warsaw University of Technology, Department of Physics</w:t>
      </w:r>
    </w:p>
    <w:p w14:paraId="329BD1FD" w14:textId="6537483C" w:rsidR="000D47C1" w:rsidRDefault="000D47C1" w:rsidP="000D47C1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0D47C1">
        <w:rPr>
          <w:rFonts w:ascii="Times New Roman" w:hAnsi="Times New Roman" w:cs="Times New Roman"/>
          <w:i/>
          <w:iCs/>
        </w:rPr>
        <w:t>Pasteura 1</w:t>
      </w:r>
      <w:r>
        <w:rPr>
          <w:rFonts w:ascii="Times New Roman" w:hAnsi="Times New Roman" w:cs="Times New Roman"/>
          <w:i/>
          <w:iCs/>
        </w:rPr>
        <w:t xml:space="preserve">, </w:t>
      </w:r>
      <w:r w:rsidRPr="000D47C1">
        <w:rPr>
          <w:rFonts w:ascii="Times New Roman" w:hAnsi="Times New Roman" w:cs="Times New Roman"/>
          <w:i/>
          <w:iCs/>
        </w:rPr>
        <w:t>02-093 Wars</w:t>
      </w:r>
      <w:r>
        <w:rPr>
          <w:rFonts w:ascii="Times New Roman" w:hAnsi="Times New Roman" w:cs="Times New Roman"/>
          <w:i/>
          <w:iCs/>
        </w:rPr>
        <w:t>aw</w:t>
      </w:r>
    </w:p>
    <w:p w14:paraId="341A3905" w14:textId="52E92AAF" w:rsidR="000D47C1" w:rsidRPr="000D47C1" w:rsidRDefault="000D47C1" w:rsidP="000D47C1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a.glaszczka2@uw.edu.pl</w:t>
      </w:r>
    </w:p>
    <w:p w14:paraId="407F50AE" w14:textId="77777777" w:rsidR="00D14534" w:rsidRPr="000D47C1" w:rsidRDefault="00D14534" w:rsidP="00D1453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Lithium-ion batteries utilizing lithium nickel-manganese-cobalt oxide (NMC) cathodes are crucial for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many energy applications, including electromobility, yet their longevity is limited by complex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degradation mechanisms. Characterizing these phenomena requires advanced structural measurements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to probe phase transitions, lattice strain, and chemomechanical failure at the micro- and atomic scales.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Understanding these structural dynamics is essential for optimizing electrode processing and material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synthesis. Furthermore, these insights inform the selection of operational cycling conditions, such as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voltage windows and charge rates. Correlating structural evolution with degradation pathways enables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the mitigation of premature capacity fade, ultimately enhancing the lifetime, safety, and efficiency of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NMC-based energy storage systems.</w:t>
      </w:r>
    </w:p>
    <w:p w14:paraId="3DBC95CD" w14:textId="3FE17662" w:rsidR="00D14534" w:rsidRPr="000D47C1" w:rsidRDefault="00D14534" w:rsidP="00D1453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Ex situ X-ray diffraction is a useful method for studying the structural evolution of layered NMC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cathode materials at different electrochemical states. [1-3] When samples are collected at well-defined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potentials, this approach allows phase evolution, lattice-parameter changes, and composition-dependent trends to be examined in detail and used to draw meaningful conclusions. In this study, ex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situ XRD data obtained for NMC111, NMC622, and NMC811 cycled materials are used to analyze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how the structural response changes with nickel content and state of charge and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compared to in situ XRD studies on the same NMC compositions.</w:t>
      </w:r>
    </w:p>
    <w:p w14:paraId="32BC6C18" w14:textId="12E6F966" w:rsidR="00D14534" w:rsidRPr="000D47C1" w:rsidRDefault="00D14534" w:rsidP="00D1453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The results show that careful ex situ sampling can capture the main structural features associated with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delithiation and relithiation, including phase identifications and quantification, peak shifts, changes inpeak shape, and phase stability analysis. Because the samples are analyzed at discrete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electrochemical states, the three compositions can be compared under the same conditions, which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helps reveal trends that are sometimes less clear in time-resolved measurements. The results are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discussed in relation to previously published and our in situ and operando synchrotron XRD studies,which provide a useful reference for structural changes observed during cycling. The advantages and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limitations of both approaches are going to be discussed.</w:t>
      </w:r>
    </w:p>
    <w:p w14:paraId="6DCC128A" w14:textId="1163886B" w:rsidR="00D14534" w:rsidRPr="000D47C1" w:rsidRDefault="00D14534" w:rsidP="00D1453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Overall, the study shows that ex situ XRD is not only an accessible alternative to synchrotron-based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methods, but also a valuable complementary tool for comparative structural analysis of NMC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cathodes. It provides high-quality diffraction data that support detailed structural refinement and help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identify composition dependent structure–property relationships in NMC111, NMC622, and NMC811.</w:t>
      </w:r>
    </w:p>
    <w:p w14:paraId="48F0199D" w14:textId="77777777" w:rsidR="00D14534" w:rsidRPr="000D47C1" w:rsidRDefault="00D14534" w:rsidP="00D1453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References:.</w:t>
      </w:r>
    </w:p>
    <w:p w14:paraId="655EE555" w14:textId="05AB2A59" w:rsidR="00D14534" w:rsidRPr="000D47C1" w:rsidRDefault="00D14534" w:rsidP="000D47C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>[1] Buchberger, Dominika A., et al. "Raman Spectroscopy Complemented with XRD and TEM for Studying Structural Evolution in Initial Cycles of LiNi</w:t>
      </w:r>
      <w:r w:rsidRPr="000D47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1/3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Mn</w:t>
      </w:r>
      <w:r w:rsidRPr="000D47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1/3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Co</w:t>
      </w:r>
      <w:r w:rsidRPr="000D47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1/3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0D47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 Cathode Material." </w:t>
      </w:r>
      <w:r w:rsidRPr="000D47C1">
        <w:rPr>
          <w:rFonts w:ascii="Times New Roman" w:hAnsi="Times New Roman" w:cs="Times New Roman"/>
          <w:i/>
          <w:iCs/>
          <w:sz w:val="20"/>
          <w:szCs w:val="20"/>
          <w:lang w:val="en-GB"/>
        </w:rPr>
        <w:t>Discover Nano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, vol. 20, no. 1, 2025, p. 189, </w:t>
      </w:r>
      <w:hyperlink r:id="rId5" w:tgtFrame="_blank" w:history="1">
        <w:r w:rsidRPr="000D47C1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en-GB"/>
          </w:rPr>
          <w:t>https://doi.org/10.1186/s11671-025-04319-2</w:t>
        </w:r>
      </w:hyperlink>
      <w:r w:rsidRPr="000D47C1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0490EB9D" w14:textId="7216365D" w:rsidR="00D14534" w:rsidRPr="000D47C1" w:rsidRDefault="00D14534" w:rsidP="000D47C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[2]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Glaszczka, Alicja, et al. "How Does the Charging Protocol Affect the Structural Properties of Different NMC?" </w:t>
      </w:r>
      <w:r w:rsidRPr="000D47C1">
        <w:rPr>
          <w:rFonts w:ascii="Times New Roman" w:hAnsi="Times New Roman" w:cs="Times New Roman"/>
          <w:i/>
          <w:iCs/>
          <w:sz w:val="20"/>
          <w:szCs w:val="20"/>
          <w:lang w:val="en-GB"/>
        </w:rPr>
        <w:t>ECS Meeting Abstracts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, vol. MA2025-01, no. 5, 2025, p. 616, </w:t>
      </w:r>
      <w:hyperlink r:id="rId6" w:tgtFrame="_blank" w:history="1">
        <w:r w:rsidRPr="000D47C1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en-GB"/>
          </w:rPr>
          <w:t>https://doi.org/10.1149/MA2025-015616mtgabs</w:t>
        </w:r>
      </w:hyperlink>
      <w:r w:rsidRPr="000D47C1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3C61736B" w14:textId="0A559C8D" w:rsidR="002C1E7D" w:rsidRPr="000D47C1" w:rsidRDefault="00D14534" w:rsidP="000D47C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[3] 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Glaszczka, Alicja, et al. "Insights into Lithium Ion Battery Charging Mechanisms: Ex Situ Studies on NMC Materials." </w:t>
      </w:r>
      <w:r w:rsidRPr="000D47C1">
        <w:rPr>
          <w:rFonts w:ascii="Times New Roman" w:hAnsi="Times New Roman" w:cs="Times New Roman"/>
          <w:i/>
          <w:iCs/>
          <w:sz w:val="20"/>
          <w:szCs w:val="20"/>
          <w:lang w:val="en-GB"/>
        </w:rPr>
        <w:t>ECS Meeting Abstracts</w:t>
      </w:r>
      <w:r w:rsidRPr="000D47C1">
        <w:rPr>
          <w:rFonts w:ascii="Times New Roman" w:hAnsi="Times New Roman" w:cs="Times New Roman"/>
          <w:sz w:val="20"/>
          <w:szCs w:val="20"/>
          <w:lang w:val="en-GB"/>
        </w:rPr>
        <w:t xml:space="preserve">, vol. MA2024-02, no. 4, 2024, p. 444, </w:t>
      </w:r>
      <w:hyperlink r:id="rId7" w:tgtFrame="_blank" w:history="1">
        <w:r w:rsidRPr="000D47C1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en-GB"/>
          </w:rPr>
          <w:t>https://doi.org/10.1149/MA2024-024444mtgabs</w:t>
        </w:r>
      </w:hyperlink>
      <w:r w:rsidRPr="000D47C1">
        <w:rPr>
          <w:rFonts w:ascii="Times New Roman" w:hAnsi="Times New Roman" w:cs="Times New Roman"/>
          <w:sz w:val="20"/>
          <w:szCs w:val="20"/>
          <w:lang w:val="en-GB"/>
        </w:rPr>
        <w:t>.</w:t>
      </w:r>
    </w:p>
    <w:sectPr w:rsidR="002C1E7D" w:rsidRPr="000D47C1" w:rsidSect="000D47C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13B0F"/>
    <w:multiLevelType w:val="multilevel"/>
    <w:tmpl w:val="FCB8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068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7D"/>
    <w:rsid w:val="000C7F96"/>
    <w:rsid w:val="000D47C1"/>
    <w:rsid w:val="000F3DCC"/>
    <w:rsid w:val="00137E5D"/>
    <w:rsid w:val="001F1CCA"/>
    <w:rsid w:val="0026228C"/>
    <w:rsid w:val="002C1E7D"/>
    <w:rsid w:val="0031678D"/>
    <w:rsid w:val="00346BC8"/>
    <w:rsid w:val="00436D65"/>
    <w:rsid w:val="00731BBA"/>
    <w:rsid w:val="00953A92"/>
    <w:rsid w:val="00983F00"/>
    <w:rsid w:val="00B1476D"/>
    <w:rsid w:val="00D14534"/>
    <w:rsid w:val="00D6592A"/>
    <w:rsid w:val="00EE6A92"/>
    <w:rsid w:val="00FB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3DF8"/>
  <w15:chartTrackingRefBased/>
  <w15:docId w15:val="{ECFEDE1D-E43A-4279-852D-FEC4CE40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E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E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E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E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E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E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E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E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E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E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E7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14534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145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s://doi.org/10.1149/MA2024-024444mtgab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doi.org/10.1149/MA2025-015616mtgabs" TargetMode="External"/><Relationship Id="rId5" Type="http://schemas.openxmlformats.org/officeDocument/2006/relationships/hyperlink" Target="https://doi.org/10.1186/s11671-025-04319-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Głaszczka</dc:creator>
  <cp:keywords/>
  <dc:description/>
  <cp:lastModifiedBy>Alicja Głaszczka</cp:lastModifiedBy>
  <cp:revision>5</cp:revision>
  <dcterms:created xsi:type="dcterms:W3CDTF">2026-06-01T11:38:00Z</dcterms:created>
  <dcterms:modified xsi:type="dcterms:W3CDTF">2026-06-01T13:20:00Z</dcterms:modified>
</cp:coreProperties>
</file>