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CDD7" w14:textId="1E664518" w:rsidR="00956262" w:rsidRDefault="00D4684B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The </w:t>
      </w:r>
      <w:r w:rsidR="00956262" w:rsidRPr="00956262">
        <w:rPr>
          <w:b/>
          <w:sz w:val="28"/>
        </w:rPr>
        <w:t xml:space="preserve">Carbonate Conversion Layer in Amine-Based Electrolytes </w:t>
      </w:r>
      <w:r w:rsidR="005E4F45">
        <w:rPr>
          <w:b/>
          <w:sz w:val="28"/>
        </w:rPr>
        <w:t>for</w:t>
      </w:r>
      <w:r w:rsidR="000E6C64">
        <w:rPr>
          <w:b/>
          <w:sz w:val="28"/>
        </w:rPr>
        <w:t xml:space="preserve"> </w:t>
      </w:r>
      <w:r w:rsidR="005E4F45">
        <w:rPr>
          <w:b/>
          <w:sz w:val="28"/>
        </w:rPr>
        <w:t>D</w:t>
      </w:r>
      <w:r w:rsidR="000E6C64">
        <w:rPr>
          <w:b/>
          <w:sz w:val="28"/>
        </w:rPr>
        <w:t xml:space="preserve">irect </w:t>
      </w:r>
      <w:r w:rsidR="00956262" w:rsidRPr="00956262">
        <w:rPr>
          <w:b/>
          <w:sz w:val="28"/>
        </w:rPr>
        <w:t xml:space="preserve">CO₂ </w:t>
      </w:r>
      <w:r w:rsidR="005E4F45">
        <w:rPr>
          <w:b/>
          <w:sz w:val="28"/>
        </w:rPr>
        <w:t>E</w:t>
      </w:r>
      <w:r w:rsidR="000F064D" w:rsidRPr="000F064D">
        <w:rPr>
          <w:b/>
          <w:sz w:val="28"/>
        </w:rPr>
        <w:t>lectrolysis</w:t>
      </w:r>
      <w:r w:rsidR="000F064D">
        <w:rPr>
          <w:b/>
          <w:sz w:val="28"/>
        </w:rPr>
        <w:t xml:space="preserve"> </w:t>
      </w:r>
    </w:p>
    <w:p w14:paraId="733C59B6" w14:textId="07708722" w:rsidR="00325004" w:rsidRDefault="00956262" w:rsidP="00E0716D">
      <w:pPr>
        <w:jc w:val="center"/>
        <w:rPr>
          <w:b/>
          <w:sz w:val="28"/>
        </w:rPr>
      </w:pPr>
      <w:r w:rsidRPr="00956262">
        <w:rPr>
          <w:b/>
          <w:sz w:val="28"/>
        </w:rPr>
        <w:t xml:space="preserve"> </w:t>
      </w:r>
    </w:p>
    <w:p w14:paraId="733C59B7" w14:textId="6319E782" w:rsidR="00325004" w:rsidRPr="001708FF" w:rsidRDefault="001708FF" w:rsidP="00E0716D">
      <w:pPr>
        <w:jc w:val="center"/>
        <w:rPr>
          <w:lang w:val="de-AT"/>
        </w:rPr>
      </w:pPr>
      <w:r w:rsidRPr="005354BE">
        <w:rPr>
          <w:vertAlign w:val="superscript"/>
          <w:lang w:val="de-AT"/>
        </w:rPr>
        <w:t>1</w:t>
      </w:r>
      <w:r w:rsidR="001A1F91" w:rsidRPr="001708FF">
        <w:rPr>
          <w:u w:val="single"/>
          <w:lang w:val="de-AT"/>
        </w:rPr>
        <w:t>Raffael Niess</w:t>
      </w:r>
      <w:r w:rsidR="00325004" w:rsidRPr="001708FF">
        <w:rPr>
          <w:lang w:val="de-AT"/>
        </w:rPr>
        <w:t xml:space="preserve">, </w:t>
      </w:r>
      <w:r w:rsidRPr="00F501CB">
        <w:rPr>
          <w:iCs/>
          <w:vertAlign w:val="superscript"/>
          <w:lang w:val="de-AT"/>
        </w:rPr>
        <w:t>1</w:t>
      </w:r>
      <w:r w:rsidR="007E5E98" w:rsidRPr="001708FF">
        <w:rPr>
          <w:lang w:val="de-AT"/>
        </w:rPr>
        <w:t>Mehmet Coskun,</w:t>
      </w:r>
      <w:r w:rsidR="009F42E2" w:rsidRPr="009F42E2">
        <w:rPr>
          <w:lang w:val="de-AT"/>
        </w:rPr>
        <w:t xml:space="preserve"> </w:t>
      </w:r>
      <w:r w:rsidR="005354BE" w:rsidRPr="005354BE">
        <w:rPr>
          <w:vertAlign w:val="superscript"/>
          <w:lang w:val="de-AT"/>
        </w:rPr>
        <w:t>1</w:t>
      </w:r>
      <w:r w:rsidR="009F42E2" w:rsidRPr="009F42E2">
        <w:rPr>
          <w:lang w:val="de-AT"/>
        </w:rPr>
        <w:t>Christoph Griesser</w:t>
      </w:r>
      <w:r w:rsidR="009F42E2">
        <w:rPr>
          <w:lang w:val="de-AT"/>
        </w:rPr>
        <w:t>,</w:t>
      </w:r>
      <w:r w:rsidR="0048379D">
        <w:rPr>
          <w:lang w:val="de-AT"/>
        </w:rPr>
        <w:t xml:space="preserve"> </w:t>
      </w:r>
      <w:r w:rsidR="005354BE" w:rsidRPr="005354BE">
        <w:rPr>
          <w:vertAlign w:val="superscript"/>
          <w:lang w:val="de-AT"/>
        </w:rPr>
        <w:t>1</w:t>
      </w:r>
      <w:r w:rsidR="0048379D">
        <w:rPr>
          <w:lang w:val="de-AT"/>
        </w:rPr>
        <w:t xml:space="preserve">Thomas </w:t>
      </w:r>
      <w:r w:rsidR="005354BE">
        <w:rPr>
          <w:lang w:val="de-AT"/>
        </w:rPr>
        <w:t>Mairegger,</w:t>
      </w:r>
      <w:r w:rsidR="007E5E98" w:rsidRPr="001708FF">
        <w:rPr>
          <w:lang w:val="de-AT"/>
        </w:rPr>
        <w:t xml:space="preserve"> </w:t>
      </w:r>
      <w:r w:rsidRPr="00F501CB">
        <w:rPr>
          <w:iCs/>
          <w:vertAlign w:val="superscript"/>
          <w:lang w:val="de-AT"/>
        </w:rPr>
        <w:t>1</w:t>
      </w:r>
      <w:r w:rsidRPr="001708FF">
        <w:rPr>
          <w:lang w:val="de-AT"/>
        </w:rPr>
        <w:t>Julia Kunze-Liebhäuser</w:t>
      </w:r>
    </w:p>
    <w:p w14:paraId="733C59B9" w14:textId="15EB86FF" w:rsidR="00325004" w:rsidRDefault="001E63AD" w:rsidP="00E0716D">
      <w:pPr>
        <w:jc w:val="center"/>
      </w:pPr>
      <w:r w:rsidRPr="001E63AD">
        <w:rPr>
          <w:i/>
          <w:vertAlign w:val="superscript"/>
        </w:rPr>
        <w:t>1</w:t>
      </w:r>
      <w:r w:rsidRPr="001E63AD">
        <w:rPr>
          <w:i/>
        </w:rPr>
        <w:t>Department of Physical Chemistry, University of Innsbruck</w:t>
      </w:r>
    </w:p>
    <w:p w14:paraId="733C59BB" w14:textId="5A1DDF3D" w:rsidR="00325004" w:rsidRDefault="001A1F91" w:rsidP="00E0716D">
      <w:pPr>
        <w:jc w:val="center"/>
      </w:pPr>
      <w:r w:rsidRPr="001A1F91">
        <w:rPr>
          <w:i/>
        </w:rPr>
        <w:t>Raffael.Niess@uibk.ac.at</w:t>
      </w:r>
    </w:p>
    <w:p w14:paraId="75A0AC3D" w14:textId="77777777" w:rsidR="00950C8F" w:rsidRDefault="00950C8F" w:rsidP="00950C8F">
      <w:pPr>
        <w:jc w:val="both"/>
      </w:pPr>
    </w:p>
    <w:p w14:paraId="6B3C4E6C" w14:textId="77777777" w:rsidR="00231399" w:rsidRDefault="00231399" w:rsidP="00950C8F">
      <w:pPr>
        <w:jc w:val="both"/>
      </w:pPr>
    </w:p>
    <w:p w14:paraId="7B849DA1" w14:textId="77777777" w:rsidR="005D5FEB" w:rsidRDefault="005D5FEB" w:rsidP="005D5FEB">
      <w:pPr>
        <w:jc w:val="both"/>
      </w:pPr>
      <w:r>
        <w:t>R</w:t>
      </w:r>
      <w:r w:rsidRPr="00AA5DD4">
        <w:t xml:space="preserve">eactive </w:t>
      </w:r>
      <w:r>
        <w:t>CO</w:t>
      </w:r>
      <w:r w:rsidRPr="00AA5DD4">
        <w:rPr>
          <w:vertAlign w:val="subscript"/>
        </w:rPr>
        <w:t>2</w:t>
      </w:r>
      <w:r w:rsidRPr="00AA5DD4">
        <w:t xml:space="preserve"> capture and conversion offers a sustainable route to valuable chemical feedstocks bypassing the energy</w:t>
      </w:r>
      <w:r>
        <w:t xml:space="preserve"> </w:t>
      </w:r>
      <w:r w:rsidRPr="00AA5DD4">
        <w:t>intensive thermal desorption step of conventional carbon capture.</w:t>
      </w:r>
      <w:r>
        <w:t xml:space="preserve"> However, overcoming severe interfacial mass-transport and kinetic limitations that occur during the direct electrocatalytic reduction of CO</w:t>
      </w:r>
      <w:r w:rsidRPr="00467F23">
        <w:rPr>
          <w:vertAlign w:val="subscript"/>
        </w:rPr>
        <w:t>2</w:t>
      </w:r>
      <w:r>
        <w:t xml:space="preserve"> from the absorber medium remains a challenging barrier to industrial feasibility.</w:t>
      </w:r>
      <w:r w:rsidRPr="0069467C">
        <w:rPr>
          <w:vertAlign w:val="superscript"/>
        </w:rPr>
        <w:t xml:space="preserve">[1] </w:t>
      </w:r>
    </w:p>
    <w:p w14:paraId="4599CAE7" w14:textId="77777777" w:rsidR="00001EE6" w:rsidRDefault="00001EE6" w:rsidP="00950C8F">
      <w:pPr>
        <w:jc w:val="both"/>
      </w:pPr>
    </w:p>
    <w:p w14:paraId="2C96A5D6" w14:textId="3987049B" w:rsidR="005F1C52" w:rsidRDefault="00F82C6D" w:rsidP="00F82C6D">
      <w:pPr>
        <w:jc w:val="both"/>
      </w:pPr>
      <w:r>
        <w:t>In this work, a strategic blend of potassium hydroxide (KOH) and the sterically hindered amine 2-amino-2-methyl-1-propanol (AMP), which provides accelerated capture kinetics toward bicarbonate</w:t>
      </w:r>
      <w:r w:rsidR="005521A7">
        <w:t xml:space="preserve"> (HCO</w:t>
      </w:r>
      <w:r w:rsidR="005521A7">
        <w:rPr>
          <w:vertAlign w:val="subscript"/>
        </w:rPr>
        <w:t>3</w:t>
      </w:r>
      <w:r w:rsidR="005521A7">
        <w:rPr>
          <w:vertAlign w:val="superscript"/>
        </w:rPr>
        <w:t>-</w:t>
      </w:r>
      <w:r w:rsidR="005521A7">
        <w:t>)</w:t>
      </w:r>
      <w:r>
        <w:t>, was utilized for direct CO</w:t>
      </w:r>
      <w:r w:rsidRPr="00726587">
        <w:rPr>
          <w:vertAlign w:val="subscript"/>
        </w:rPr>
        <w:t>2</w:t>
      </w:r>
      <w:r>
        <w:t xml:space="preserve"> electro-reduction at a silver (Ag) nanoparticle catalyst</w:t>
      </w:r>
      <w:r w:rsidR="005A5B15">
        <w:t xml:space="preserve"> </w:t>
      </w:r>
      <w:r w:rsidR="00025963" w:rsidRPr="00025963">
        <w:t xml:space="preserve">in an </w:t>
      </w:r>
      <w:proofErr w:type="spellStart"/>
      <w:r w:rsidR="00BF53C4" w:rsidRPr="00BF53C4">
        <w:rPr>
          <w:lang w:val="en"/>
        </w:rPr>
        <w:t>electrolyzer</w:t>
      </w:r>
      <w:proofErr w:type="spellEnd"/>
      <w:r w:rsidR="00BF53C4" w:rsidRPr="00BF53C4">
        <w:rPr>
          <w:lang w:val="en"/>
        </w:rPr>
        <w:t xml:space="preserve"> </w:t>
      </w:r>
      <w:r w:rsidR="00DA798C">
        <w:t>cell</w:t>
      </w:r>
      <w:r>
        <w:t>. Intriguingly, this industrially relevant absorber medium was found to enable high-rate electrochemical conversion to CO for direct syngas generation.</w:t>
      </w:r>
      <w:r w:rsidR="007176DB">
        <w:rPr>
          <w:vertAlign w:val="superscript"/>
        </w:rPr>
        <w:t xml:space="preserve"> </w:t>
      </w:r>
      <w:r>
        <w:t>The direct CO</w:t>
      </w:r>
      <w:r w:rsidRPr="007D44BD">
        <w:rPr>
          <w:vertAlign w:val="subscript"/>
        </w:rPr>
        <w:t>2</w:t>
      </w:r>
      <w:r>
        <w:t xml:space="preserve"> reduction reaction was </w:t>
      </w:r>
      <w:r w:rsidR="0056512D">
        <w:t>enhanced</w:t>
      </w:r>
      <w:r>
        <w:t xml:space="preserve"> through the use of a TiO</w:t>
      </w:r>
      <w:r w:rsidRPr="00726587">
        <w:rPr>
          <w:vertAlign w:val="subscript"/>
        </w:rPr>
        <w:t>2</w:t>
      </w:r>
      <w:r>
        <w:t xml:space="preserve">-based diffusive interlayer positioned between the Cation Exchange Membrane (CEM) and the catalyst. This film transforms into a highly active interface that we define as the </w:t>
      </w:r>
      <w:r w:rsidRPr="00726587">
        <w:rPr>
          <w:i/>
          <w:iCs/>
        </w:rPr>
        <w:t>Carbonate Conversion Layer</w:t>
      </w:r>
      <w:r>
        <w:t xml:space="preserve"> (CCL).</w:t>
      </w:r>
      <w:r w:rsidR="007176DB" w:rsidRPr="007176DB">
        <w:rPr>
          <w:vertAlign w:val="superscript"/>
        </w:rPr>
        <w:t>[2]</w:t>
      </w:r>
      <w:r w:rsidR="00CB0D2A" w:rsidRPr="007176DB">
        <w:rPr>
          <w:vertAlign w:val="superscript"/>
        </w:rPr>
        <w:t xml:space="preserve"> </w:t>
      </w:r>
      <w:r w:rsidR="00CB0D2A">
        <w:t xml:space="preserve">Through a combination of electrochemical product quantification via online gas chromatography (GC) and quantitative </w:t>
      </w:r>
      <w:r w:rsidR="00CB0D2A" w:rsidRPr="00E54D07">
        <w:rPr>
          <w:vertAlign w:val="superscript"/>
        </w:rPr>
        <w:t>13</w:t>
      </w:r>
      <w:r w:rsidR="00CB0D2A">
        <w:t>C NMR spectroscopy, we elucidate the underlying function of this interlayer, explaining the increased CO</w:t>
      </w:r>
      <w:r w:rsidR="00CB0D2A" w:rsidRPr="00F34D45">
        <w:rPr>
          <w:vertAlign w:val="subscript"/>
        </w:rPr>
        <w:t>2</w:t>
      </w:r>
      <w:r w:rsidR="00CB0D2A">
        <w:t xml:space="preserve"> conversion rate </w:t>
      </w:r>
      <w:r w:rsidR="00337560">
        <w:t xml:space="preserve">at </w:t>
      </w:r>
      <w:r w:rsidR="00CB0D2A">
        <w:t xml:space="preserve">industrially relevant current densities </w:t>
      </w:r>
      <w:r w:rsidR="00337560">
        <w:t xml:space="preserve">of </w:t>
      </w:r>
      <w:r w:rsidR="00CB0D2A">
        <w:t>200 mA</w:t>
      </w:r>
      <w:r w:rsidR="00C71D8D">
        <w:t> </w:t>
      </w:r>
      <w:r w:rsidR="00CB0D2A">
        <w:t>cm</w:t>
      </w:r>
      <w:r w:rsidR="00CB0D2A" w:rsidRPr="00E54D07">
        <w:rPr>
          <w:vertAlign w:val="superscript"/>
        </w:rPr>
        <w:t>−2</w:t>
      </w:r>
      <w:r w:rsidR="00CB0D2A">
        <w:t xml:space="preserve"> compared with single component electrolytes.</w:t>
      </w:r>
      <w:r w:rsidR="00B25286">
        <w:t xml:space="preserve"> Th</w:t>
      </w:r>
      <w:r w:rsidR="00DA798C">
        <w:t>e</w:t>
      </w:r>
      <w:r w:rsidR="00B25286">
        <w:t xml:space="preserve"> CCL</w:t>
      </w:r>
      <w:r>
        <w:t xml:space="preserve"> is crucial for </w:t>
      </w:r>
      <w:r w:rsidR="00337560" w:rsidRPr="00EC4EA7">
        <w:rPr>
          <w:i/>
          <w:iCs/>
        </w:rPr>
        <w:t>in-</w:t>
      </w:r>
      <w:r w:rsidRPr="00EC4EA7">
        <w:rPr>
          <w:i/>
          <w:iCs/>
        </w:rPr>
        <w:t>situ</w:t>
      </w:r>
      <w:r>
        <w:t xml:space="preserve"> CO</w:t>
      </w:r>
      <w:r w:rsidRPr="00726587">
        <w:rPr>
          <w:vertAlign w:val="subscript"/>
        </w:rPr>
        <w:t>2</w:t>
      </w:r>
      <w:r>
        <w:t xml:space="preserve"> regeneration from (bi)carbonate species, which is essential as only </w:t>
      </w:r>
      <w:r w:rsidR="00D70CEB">
        <w:t>molecular</w:t>
      </w:r>
      <w:r>
        <w:t xml:space="preserve"> CO</w:t>
      </w:r>
      <w:r w:rsidRPr="00726587">
        <w:rPr>
          <w:vertAlign w:val="subscript"/>
        </w:rPr>
        <w:t>2</w:t>
      </w:r>
      <w:r>
        <w:t xml:space="preserve"> can be electrocatalytically converted.</w:t>
      </w:r>
      <w:r w:rsidR="007176DB" w:rsidRPr="007176DB">
        <w:rPr>
          <w:vertAlign w:val="superscript"/>
        </w:rPr>
        <w:t>[3]</w:t>
      </w:r>
      <w:r w:rsidR="008112B0" w:rsidRPr="007176DB">
        <w:rPr>
          <w:vertAlign w:val="superscript"/>
        </w:rPr>
        <w:t xml:space="preserve"> </w:t>
      </w:r>
      <w:r w:rsidR="00DA798C">
        <w:t xml:space="preserve">In addition, </w:t>
      </w:r>
      <w:r>
        <w:t>bicarbonate acts as a highly mobile interfacial pH buffer to neutralize excess alkalinity generated during electrolysis, a process mediated by protons provided through the CEM.</w:t>
      </w:r>
      <w:r w:rsidR="000B1F14">
        <w:t xml:space="preserve"> </w:t>
      </w:r>
      <w:r w:rsidR="00F04036" w:rsidRPr="00F04036">
        <w:t>Within this buffer region, the protonation of the amine (AMPH</w:t>
      </w:r>
      <w:r w:rsidR="00F04036" w:rsidRPr="00E43B4A">
        <w:rPr>
          <w:vertAlign w:val="superscript"/>
        </w:rPr>
        <w:t>+</w:t>
      </w:r>
      <w:r w:rsidR="00F04036" w:rsidRPr="00F04036">
        <w:t>) locally blocks the nitrogen lone pairs, deactivating CO</w:t>
      </w:r>
      <w:r w:rsidR="00F04036" w:rsidRPr="00E43B4A">
        <w:rPr>
          <w:vertAlign w:val="subscript"/>
        </w:rPr>
        <w:t>2</w:t>
      </w:r>
      <w:r w:rsidR="00F04036" w:rsidRPr="00F04036">
        <w:t xml:space="preserve"> recapture </w:t>
      </w:r>
      <w:r w:rsidR="00021577">
        <w:t>in the CCL</w:t>
      </w:r>
      <w:r w:rsidR="00BF53C4">
        <w:t xml:space="preserve">, </w:t>
      </w:r>
      <w:r w:rsidR="00337560">
        <w:t xml:space="preserve">which leads to an </w:t>
      </w:r>
      <w:r w:rsidR="00F04036" w:rsidRPr="00F04036">
        <w:t>effectiv</w:t>
      </w:r>
      <w:r w:rsidR="00337560">
        <w:t>e</w:t>
      </w:r>
      <w:r w:rsidR="00F04036" w:rsidRPr="00F04036">
        <w:t xml:space="preserve"> </w:t>
      </w:r>
      <w:r w:rsidR="00337560" w:rsidRPr="00F04036">
        <w:t>increas</w:t>
      </w:r>
      <w:r w:rsidR="00337560">
        <w:t>e</w:t>
      </w:r>
      <w:r w:rsidR="00337560" w:rsidRPr="00F04036">
        <w:t xml:space="preserve"> </w:t>
      </w:r>
      <w:r w:rsidR="00337560">
        <w:t xml:space="preserve">of </w:t>
      </w:r>
      <w:r w:rsidR="00F04036" w:rsidRPr="00F04036">
        <w:t>the local CO</w:t>
      </w:r>
      <w:r w:rsidR="00F04036" w:rsidRPr="00E43B4A">
        <w:rPr>
          <w:vertAlign w:val="subscript"/>
        </w:rPr>
        <w:t>2</w:t>
      </w:r>
      <w:r w:rsidR="00F04036" w:rsidRPr="00F04036">
        <w:t xml:space="preserve"> concentration.</w:t>
      </w:r>
      <w:r w:rsidR="00F04036">
        <w:t xml:space="preserve"> </w:t>
      </w:r>
    </w:p>
    <w:p w14:paraId="047B643D" w14:textId="383FDBAE" w:rsidR="00BF53C4" w:rsidRDefault="00BF53C4" w:rsidP="00F82C6D">
      <w:pPr>
        <w:jc w:val="both"/>
      </w:pPr>
      <w:r>
        <w:rPr>
          <w:noProof/>
          <w:snapToGrid/>
        </w:rPr>
        <w:drawing>
          <wp:anchor distT="0" distB="0" distL="114300" distR="114300" simplePos="0" relativeHeight="251659264" behindDoc="0" locked="0" layoutInCell="1" allowOverlap="1" wp14:anchorId="4C879670" wp14:editId="681532E2">
            <wp:simplePos x="0" y="0"/>
            <wp:positionH relativeFrom="margin">
              <wp:posOffset>22009</wp:posOffset>
            </wp:positionH>
            <wp:positionV relativeFrom="paragraph">
              <wp:posOffset>187541</wp:posOffset>
            </wp:positionV>
            <wp:extent cx="5400675" cy="1661795"/>
            <wp:effectExtent l="0" t="0" r="9525" b="0"/>
            <wp:wrapSquare wrapText="bothSides"/>
            <wp:docPr id="120260564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605646" name=""/>
                    <pic:cNvPicPr/>
                  </pic:nvPicPr>
                  <pic:blipFill rotWithShape="1">
                    <a:blip r:embed="rId4"/>
                    <a:srcRect t="5197" b="4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66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D38A145" w14:textId="75ED372D" w:rsidR="00E43B4A" w:rsidRDefault="00E43B4A" w:rsidP="00E0716D">
      <w:pPr>
        <w:jc w:val="both"/>
        <w:rPr>
          <w:b/>
          <w:bCs/>
        </w:rPr>
      </w:pPr>
    </w:p>
    <w:p w14:paraId="05230CE0" w14:textId="3CFEAD65" w:rsidR="002B2361" w:rsidRPr="00E43B4A" w:rsidRDefault="00F82C6D" w:rsidP="00E0716D">
      <w:pPr>
        <w:jc w:val="both"/>
      </w:pPr>
      <w:r w:rsidRPr="00F82C6D">
        <w:rPr>
          <w:b/>
          <w:bCs/>
        </w:rPr>
        <w:t xml:space="preserve">Figure 1: </w:t>
      </w:r>
      <w:r w:rsidR="000546A8" w:rsidRPr="000546A8">
        <w:rPr>
          <w:b/>
          <w:bCs/>
        </w:rPr>
        <w:t xml:space="preserve">Schematic of the proposed mechanism within the CCL. </w:t>
      </w:r>
      <w:r w:rsidR="000546A8" w:rsidRPr="000546A8">
        <w:t>Bicarbonate acts as an interfacial pH buffer and regenerates CO</w:t>
      </w:r>
      <w:r w:rsidR="000546A8" w:rsidRPr="000546A8">
        <w:rPr>
          <w:vertAlign w:val="subscript"/>
        </w:rPr>
        <w:t>2</w:t>
      </w:r>
      <w:r w:rsidR="000546A8" w:rsidRPr="000546A8">
        <w:t xml:space="preserve">, effectively increasing its local concentration at the Ag catalyst surface. The numbered </w:t>
      </w:r>
      <w:r w:rsidR="00CB7D67">
        <w:t>reactions</w:t>
      </w:r>
      <w:r w:rsidR="000546A8" w:rsidRPr="000546A8">
        <w:t xml:space="preserve"> illustrate: </w:t>
      </w:r>
      <w:r w:rsidR="00E43B4A">
        <w:t xml:space="preserve">(1) </w:t>
      </w:r>
      <w:r w:rsidR="00E43B4A" w:rsidRPr="00E43B4A">
        <w:t>Amine</w:t>
      </w:r>
      <w:r w:rsidR="00E43B4A">
        <w:t xml:space="preserve"> </w:t>
      </w:r>
      <w:r w:rsidR="00E43B4A" w:rsidRPr="00E43B4A">
        <w:t xml:space="preserve">mediated </w:t>
      </w:r>
      <w:r w:rsidR="00E43B4A">
        <w:t xml:space="preserve">fast </w:t>
      </w:r>
      <w:r w:rsidR="00E43B4A" w:rsidRPr="00E43B4A">
        <w:t>CO</w:t>
      </w:r>
      <w:r w:rsidR="00E43B4A" w:rsidRPr="00E43B4A">
        <w:rPr>
          <w:vertAlign w:val="subscript"/>
        </w:rPr>
        <w:t>2</w:t>
      </w:r>
      <w:r w:rsidR="00E43B4A" w:rsidRPr="00E43B4A">
        <w:t xml:space="preserve"> capture</w:t>
      </w:r>
      <w:r w:rsidR="000A7E1D">
        <w:t xml:space="preserve"> and transport</w:t>
      </w:r>
      <w:r w:rsidR="00E43B4A">
        <w:t xml:space="preserve">, </w:t>
      </w:r>
      <w:r w:rsidR="000546A8" w:rsidRPr="000546A8">
        <w:t>(</w:t>
      </w:r>
      <w:r w:rsidR="00E43B4A">
        <w:t>2</w:t>
      </w:r>
      <w:r w:rsidR="000546A8" w:rsidRPr="000546A8">
        <w:t>) molecular CO</w:t>
      </w:r>
      <w:r w:rsidR="000546A8" w:rsidRPr="00D94168">
        <w:rPr>
          <w:vertAlign w:val="subscript"/>
        </w:rPr>
        <w:t>2</w:t>
      </w:r>
      <w:r w:rsidR="000546A8" w:rsidRPr="000546A8">
        <w:t xml:space="preserve"> regeneration via protonation</w:t>
      </w:r>
      <w:r w:rsidR="00DA798C">
        <w:t>,</w:t>
      </w:r>
      <w:r w:rsidR="000546A8" w:rsidRPr="000546A8">
        <w:t xml:space="preserve"> (</w:t>
      </w:r>
      <w:r w:rsidR="00E43B4A">
        <w:t>3</w:t>
      </w:r>
      <w:r w:rsidR="000546A8" w:rsidRPr="000546A8">
        <w:t>) electrocatalytic conversion of CO</w:t>
      </w:r>
      <w:r w:rsidR="000546A8" w:rsidRPr="00D94168">
        <w:rPr>
          <w:vertAlign w:val="subscript"/>
        </w:rPr>
        <w:t>2</w:t>
      </w:r>
      <w:r w:rsidR="000546A8" w:rsidRPr="000546A8">
        <w:t xml:space="preserve"> to CO on Ag and (</w:t>
      </w:r>
      <w:r w:rsidR="00E43B4A">
        <w:t>4</w:t>
      </w:r>
      <w:r w:rsidR="000546A8" w:rsidRPr="000546A8">
        <w:t>–</w:t>
      </w:r>
      <w:r w:rsidR="00E43B4A">
        <w:t>5</w:t>
      </w:r>
      <w:r w:rsidR="000546A8" w:rsidRPr="000546A8">
        <w:t>) the interfacial buffering of the (bi)carbonate.</w:t>
      </w:r>
    </w:p>
    <w:p w14:paraId="654822BF" w14:textId="77777777" w:rsidR="007E0E0C" w:rsidRDefault="007E0E0C" w:rsidP="00E0716D">
      <w:pPr>
        <w:jc w:val="both"/>
        <w:rPr>
          <w:b/>
          <w:bCs/>
        </w:rPr>
      </w:pPr>
    </w:p>
    <w:p w14:paraId="2CF98158" w14:textId="196E3251" w:rsidR="00D55D2B" w:rsidRDefault="002B2361" w:rsidP="00E0716D">
      <w:pPr>
        <w:jc w:val="both"/>
        <w:rPr>
          <w:u w:val="single"/>
        </w:rPr>
      </w:pPr>
      <w:r w:rsidRPr="00231399">
        <w:rPr>
          <w:u w:val="single"/>
        </w:rPr>
        <w:t xml:space="preserve">References: </w:t>
      </w:r>
    </w:p>
    <w:p w14:paraId="083AFF3E" w14:textId="77777777" w:rsidR="00BF53C4" w:rsidRPr="00231399" w:rsidRDefault="00BF53C4" w:rsidP="00E0716D">
      <w:pPr>
        <w:jc w:val="both"/>
        <w:rPr>
          <w:u w:val="single"/>
        </w:rPr>
      </w:pPr>
    </w:p>
    <w:p w14:paraId="648A2111" w14:textId="2192F765" w:rsidR="00D55D2B" w:rsidRDefault="00D55D2B" w:rsidP="00231399">
      <w:pPr>
        <w:jc w:val="both"/>
      </w:pPr>
      <w:r w:rsidRPr="00231399">
        <w:t xml:space="preserve">[1] </w:t>
      </w:r>
      <w:r w:rsidR="00FC7D5B" w:rsidRPr="00231399">
        <w:t>Zhu, X., &amp; Liao, Q.</w:t>
      </w:r>
      <w:r w:rsidR="00EA4389" w:rsidRPr="00231399">
        <w:t xml:space="preserve"> et.al.</w:t>
      </w:r>
      <w:r w:rsidR="00FC7D5B" w:rsidRPr="00231399">
        <w:t xml:space="preserve"> (</w:t>
      </w:r>
      <w:r w:rsidR="00FC7D5B" w:rsidRPr="00F04036">
        <w:t>2021</w:t>
      </w:r>
      <w:r w:rsidR="00FC7D5B" w:rsidRPr="00231399">
        <w:t xml:space="preserve">). </w:t>
      </w:r>
      <w:r w:rsidR="00FC7D5B" w:rsidRPr="00FC7D5B">
        <w:t xml:space="preserve">Life cycle and economic analysis of chemicals production via electrolytic (bi)carbonate and gaseous </w:t>
      </w:r>
      <w:r w:rsidR="00EF20E2">
        <w:t>CO</w:t>
      </w:r>
      <w:r w:rsidR="00EF20E2" w:rsidRPr="00EF20E2">
        <w:rPr>
          <w:vertAlign w:val="subscript"/>
        </w:rPr>
        <w:t>2</w:t>
      </w:r>
      <w:r w:rsidR="00FC7D5B" w:rsidRPr="00FC7D5B">
        <w:t xml:space="preserve"> conversion. </w:t>
      </w:r>
      <w:r w:rsidR="00FC7D5B" w:rsidRPr="00F04036">
        <w:rPr>
          <w:i/>
          <w:iCs/>
        </w:rPr>
        <w:t>Applied Energy</w:t>
      </w:r>
      <w:r w:rsidR="00FC7D5B" w:rsidRPr="00FC7D5B">
        <w:t>, 304, 117768.</w:t>
      </w:r>
    </w:p>
    <w:p w14:paraId="3F3EF6FA" w14:textId="105309A5" w:rsidR="002B2361" w:rsidRDefault="009542A0" w:rsidP="00E0716D">
      <w:pPr>
        <w:jc w:val="both"/>
      </w:pPr>
      <w:r w:rsidRPr="00D55D2B">
        <w:t>[</w:t>
      </w:r>
      <w:r w:rsidR="00887E7F">
        <w:t>2</w:t>
      </w:r>
      <w:r w:rsidRPr="00D55D2B">
        <w:t>]</w:t>
      </w:r>
      <w:r>
        <w:t xml:space="preserve"> </w:t>
      </w:r>
      <w:r w:rsidR="00AB7BBC" w:rsidRPr="00AB7BBC">
        <w:t>J., Sargent, E. H., &amp; Sinton, D.</w:t>
      </w:r>
      <w:r w:rsidR="00EF20E2">
        <w:t xml:space="preserve"> et.al.</w:t>
      </w:r>
      <w:r w:rsidR="00AB7BBC" w:rsidRPr="00AB7BBC">
        <w:t xml:space="preserve"> (</w:t>
      </w:r>
      <w:r w:rsidR="00AB7BBC" w:rsidRPr="00F04036">
        <w:t>2023</w:t>
      </w:r>
      <w:r w:rsidR="00AB7BBC" w:rsidRPr="00AB7BBC">
        <w:t xml:space="preserve">). Direct carbonate electrolysis into pure syngas. </w:t>
      </w:r>
      <w:r w:rsidR="00AB7BBC" w:rsidRPr="00F04036">
        <w:rPr>
          <w:i/>
          <w:iCs/>
        </w:rPr>
        <w:t xml:space="preserve">EES </w:t>
      </w:r>
      <w:r w:rsidR="00231399" w:rsidRPr="00F04036">
        <w:rPr>
          <w:i/>
          <w:iCs/>
        </w:rPr>
        <w:t xml:space="preserve">          </w:t>
      </w:r>
      <w:r w:rsidR="0056512D" w:rsidRPr="00F04036">
        <w:rPr>
          <w:i/>
          <w:iCs/>
        </w:rPr>
        <w:t xml:space="preserve">   </w:t>
      </w:r>
      <w:r w:rsidR="00AB7BBC" w:rsidRPr="00F04036">
        <w:rPr>
          <w:i/>
          <w:iCs/>
        </w:rPr>
        <w:t>Catalysis</w:t>
      </w:r>
      <w:r w:rsidR="00AB7BBC" w:rsidRPr="00AB7BBC">
        <w:t>, 1, 54-61.</w:t>
      </w:r>
    </w:p>
    <w:p w14:paraId="51718B2A" w14:textId="70B482B3" w:rsidR="000A7E1D" w:rsidRPr="002B2361" w:rsidRDefault="001D31D8" w:rsidP="00E0716D">
      <w:pPr>
        <w:jc w:val="both"/>
      </w:pPr>
      <w:r w:rsidRPr="00D55D2B">
        <w:t>[</w:t>
      </w:r>
      <w:r>
        <w:t>3</w:t>
      </w:r>
      <w:r w:rsidRPr="00D55D2B">
        <w:t>]</w:t>
      </w:r>
      <w:r w:rsidR="00EA4389" w:rsidRPr="00EA4389">
        <w:t>.</w:t>
      </w:r>
      <w:r w:rsidR="00F04036" w:rsidRPr="00F04036">
        <w:t xml:space="preserve"> </w:t>
      </w:r>
      <w:proofErr w:type="spellStart"/>
      <w:r w:rsidR="00F04036" w:rsidRPr="00F04036">
        <w:t>Aroua</w:t>
      </w:r>
      <w:proofErr w:type="spellEnd"/>
      <w:r w:rsidR="00F04036" w:rsidRPr="00F04036">
        <w:t xml:space="preserve">, M. K., &amp; Gallant, B. M. </w:t>
      </w:r>
      <w:r w:rsidR="00E43B4A">
        <w:t xml:space="preserve">et.al. </w:t>
      </w:r>
      <w:r w:rsidR="00F04036" w:rsidRPr="00F04036">
        <w:t>(2023). Uncovering the active species in amine-mediated CO2​ reduction to CO on Ag.</w:t>
      </w:r>
      <w:r w:rsidR="00F04036">
        <w:t xml:space="preserve"> </w:t>
      </w:r>
      <w:r w:rsidR="00F04036" w:rsidRPr="00F04036">
        <w:rPr>
          <w:i/>
          <w:iCs/>
        </w:rPr>
        <w:t>ACS Catal</w:t>
      </w:r>
      <w:r w:rsidR="00F04036">
        <w:rPr>
          <w:i/>
          <w:iCs/>
        </w:rPr>
        <w:t>ysis</w:t>
      </w:r>
      <w:r w:rsidR="00F04036">
        <w:t>,</w:t>
      </w:r>
      <w:r w:rsidR="00F04036" w:rsidRPr="00F04036">
        <w:t xml:space="preserve"> 13, 18, 12322–12337</w:t>
      </w:r>
      <w:r w:rsidR="00E43B4A">
        <w:t>.</w:t>
      </w:r>
    </w:p>
    <w:sectPr w:rsidR="000A7E1D" w:rsidRPr="002B236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1EE6"/>
    <w:rsid w:val="00017811"/>
    <w:rsid w:val="00021577"/>
    <w:rsid w:val="00025963"/>
    <w:rsid w:val="00041EFD"/>
    <w:rsid w:val="00047C14"/>
    <w:rsid w:val="000546A8"/>
    <w:rsid w:val="000901E3"/>
    <w:rsid w:val="000A2CC0"/>
    <w:rsid w:val="000A7E1D"/>
    <w:rsid w:val="000B1289"/>
    <w:rsid w:val="000B1F14"/>
    <w:rsid w:val="000C5F7E"/>
    <w:rsid w:val="000D4838"/>
    <w:rsid w:val="000E6C64"/>
    <w:rsid w:val="000F058E"/>
    <w:rsid w:val="000F064D"/>
    <w:rsid w:val="000F1A98"/>
    <w:rsid w:val="00105434"/>
    <w:rsid w:val="00140472"/>
    <w:rsid w:val="00147D95"/>
    <w:rsid w:val="00155FEF"/>
    <w:rsid w:val="001708FF"/>
    <w:rsid w:val="001A1F91"/>
    <w:rsid w:val="001D31D8"/>
    <w:rsid w:val="001E63AD"/>
    <w:rsid w:val="001F42DD"/>
    <w:rsid w:val="002111F7"/>
    <w:rsid w:val="00231399"/>
    <w:rsid w:val="00232421"/>
    <w:rsid w:val="0027716B"/>
    <w:rsid w:val="002A5B98"/>
    <w:rsid w:val="002B2361"/>
    <w:rsid w:val="002B41FA"/>
    <w:rsid w:val="002B4526"/>
    <w:rsid w:val="002C0B5C"/>
    <w:rsid w:val="002C4B08"/>
    <w:rsid w:val="002C5711"/>
    <w:rsid w:val="002F6D95"/>
    <w:rsid w:val="0030208F"/>
    <w:rsid w:val="00315938"/>
    <w:rsid w:val="00321368"/>
    <w:rsid w:val="00325004"/>
    <w:rsid w:val="00325279"/>
    <w:rsid w:val="00337560"/>
    <w:rsid w:val="00361DE9"/>
    <w:rsid w:val="00374A0E"/>
    <w:rsid w:val="0039206F"/>
    <w:rsid w:val="003A1CA3"/>
    <w:rsid w:val="00430009"/>
    <w:rsid w:val="00451C3C"/>
    <w:rsid w:val="0048379D"/>
    <w:rsid w:val="00514E05"/>
    <w:rsid w:val="00526D64"/>
    <w:rsid w:val="005354BE"/>
    <w:rsid w:val="00536366"/>
    <w:rsid w:val="005521A7"/>
    <w:rsid w:val="00556B3A"/>
    <w:rsid w:val="0056512D"/>
    <w:rsid w:val="0056634B"/>
    <w:rsid w:val="00566773"/>
    <w:rsid w:val="00572337"/>
    <w:rsid w:val="005725AC"/>
    <w:rsid w:val="005A263F"/>
    <w:rsid w:val="005A5B15"/>
    <w:rsid w:val="005C29F9"/>
    <w:rsid w:val="005C4D2D"/>
    <w:rsid w:val="005C7BBB"/>
    <w:rsid w:val="005D5FEB"/>
    <w:rsid w:val="005E3239"/>
    <w:rsid w:val="005E4F45"/>
    <w:rsid w:val="005E51E6"/>
    <w:rsid w:val="005F1C52"/>
    <w:rsid w:val="00603EEC"/>
    <w:rsid w:val="00606DD8"/>
    <w:rsid w:val="00612045"/>
    <w:rsid w:val="006124C3"/>
    <w:rsid w:val="00620923"/>
    <w:rsid w:val="006248B4"/>
    <w:rsid w:val="006259FB"/>
    <w:rsid w:val="006551AC"/>
    <w:rsid w:val="00657F93"/>
    <w:rsid w:val="00667330"/>
    <w:rsid w:val="00671473"/>
    <w:rsid w:val="00673832"/>
    <w:rsid w:val="00684FB2"/>
    <w:rsid w:val="006853A7"/>
    <w:rsid w:val="00685C1A"/>
    <w:rsid w:val="0069467C"/>
    <w:rsid w:val="006A16B6"/>
    <w:rsid w:val="006A32FC"/>
    <w:rsid w:val="006C5308"/>
    <w:rsid w:val="006C5F00"/>
    <w:rsid w:val="006D5A1C"/>
    <w:rsid w:val="006F5170"/>
    <w:rsid w:val="007043B9"/>
    <w:rsid w:val="00706241"/>
    <w:rsid w:val="007176DB"/>
    <w:rsid w:val="00726587"/>
    <w:rsid w:val="00745393"/>
    <w:rsid w:val="00772792"/>
    <w:rsid w:val="00777A42"/>
    <w:rsid w:val="007B7384"/>
    <w:rsid w:val="007D44BD"/>
    <w:rsid w:val="007E0E0C"/>
    <w:rsid w:val="007E5E98"/>
    <w:rsid w:val="007E7013"/>
    <w:rsid w:val="007F3820"/>
    <w:rsid w:val="00804745"/>
    <w:rsid w:val="008112B0"/>
    <w:rsid w:val="0081640E"/>
    <w:rsid w:val="00823814"/>
    <w:rsid w:val="00842805"/>
    <w:rsid w:val="008443DA"/>
    <w:rsid w:val="00845416"/>
    <w:rsid w:val="00883682"/>
    <w:rsid w:val="00887E7F"/>
    <w:rsid w:val="0089219C"/>
    <w:rsid w:val="00892DC8"/>
    <w:rsid w:val="008B6085"/>
    <w:rsid w:val="008C2275"/>
    <w:rsid w:val="008E0679"/>
    <w:rsid w:val="00945AEB"/>
    <w:rsid w:val="00950C8F"/>
    <w:rsid w:val="009542A0"/>
    <w:rsid w:val="00956262"/>
    <w:rsid w:val="00957809"/>
    <w:rsid w:val="0097642F"/>
    <w:rsid w:val="00976C0F"/>
    <w:rsid w:val="00977144"/>
    <w:rsid w:val="009979B6"/>
    <w:rsid w:val="009A31C7"/>
    <w:rsid w:val="009A5E23"/>
    <w:rsid w:val="009B0C92"/>
    <w:rsid w:val="009B24B0"/>
    <w:rsid w:val="009E2F70"/>
    <w:rsid w:val="009F42E2"/>
    <w:rsid w:val="00A1535B"/>
    <w:rsid w:val="00A26E32"/>
    <w:rsid w:val="00A3255E"/>
    <w:rsid w:val="00A376A1"/>
    <w:rsid w:val="00A4627F"/>
    <w:rsid w:val="00A50165"/>
    <w:rsid w:val="00A717A1"/>
    <w:rsid w:val="00A83E2D"/>
    <w:rsid w:val="00A848E6"/>
    <w:rsid w:val="00A8520B"/>
    <w:rsid w:val="00A9111C"/>
    <w:rsid w:val="00A922D0"/>
    <w:rsid w:val="00A95EC6"/>
    <w:rsid w:val="00AA5DD4"/>
    <w:rsid w:val="00AB7BBC"/>
    <w:rsid w:val="00B25286"/>
    <w:rsid w:val="00B254D0"/>
    <w:rsid w:val="00B5067E"/>
    <w:rsid w:val="00BD6B32"/>
    <w:rsid w:val="00BE2137"/>
    <w:rsid w:val="00BE5C52"/>
    <w:rsid w:val="00BF53C4"/>
    <w:rsid w:val="00C1285E"/>
    <w:rsid w:val="00C14671"/>
    <w:rsid w:val="00C43DEE"/>
    <w:rsid w:val="00C50BD6"/>
    <w:rsid w:val="00C71D8D"/>
    <w:rsid w:val="00CA1A55"/>
    <w:rsid w:val="00CA7D2F"/>
    <w:rsid w:val="00CB0D2A"/>
    <w:rsid w:val="00CB33FD"/>
    <w:rsid w:val="00CB7D67"/>
    <w:rsid w:val="00CC24E3"/>
    <w:rsid w:val="00CC660C"/>
    <w:rsid w:val="00CE58EA"/>
    <w:rsid w:val="00CF5230"/>
    <w:rsid w:val="00D429CB"/>
    <w:rsid w:val="00D4684B"/>
    <w:rsid w:val="00D55D2B"/>
    <w:rsid w:val="00D57E45"/>
    <w:rsid w:val="00D64A0F"/>
    <w:rsid w:val="00D6663F"/>
    <w:rsid w:val="00D70CEB"/>
    <w:rsid w:val="00D94168"/>
    <w:rsid w:val="00DA798C"/>
    <w:rsid w:val="00DE4B86"/>
    <w:rsid w:val="00E0050C"/>
    <w:rsid w:val="00E01168"/>
    <w:rsid w:val="00E0716D"/>
    <w:rsid w:val="00E1187E"/>
    <w:rsid w:val="00E43B29"/>
    <w:rsid w:val="00E43B4A"/>
    <w:rsid w:val="00E46562"/>
    <w:rsid w:val="00E54D07"/>
    <w:rsid w:val="00E56A92"/>
    <w:rsid w:val="00EA4389"/>
    <w:rsid w:val="00EB05C9"/>
    <w:rsid w:val="00EC0D68"/>
    <w:rsid w:val="00EC4EA7"/>
    <w:rsid w:val="00ED10F9"/>
    <w:rsid w:val="00EE0385"/>
    <w:rsid w:val="00EE160A"/>
    <w:rsid w:val="00EE5A96"/>
    <w:rsid w:val="00EF20E2"/>
    <w:rsid w:val="00EF3481"/>
    <w:rsid w:val="00F04036"/>
    <w:rsid w:val="00F34D45"/>
    <w:rsid w:val="00F35146"/>
    <w:rsid w:val="00F43772"/>
    <w:rsid w:val="00F501CB"/>
    <w:rsid w:val="00F64867"/>
    <w:rsid w:val="00F82C6D"/>
    <w:rsid w:val="00F97641"/>
    <w:rsid w:val="00FC51FC"/>
    <w:rsid w:val="00FC61BE"/>
    <w:rsid w:val="00FC7D5B"/>
    <w:rsid w:val="00FD00A9"/>
    <w:rsid w:val="00FE2E7F"/>
    <w:rsid w:val="00FE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3C59B5"/>
  <w14:defaultImageDpi w14:val="300"/>
  <w15:docId w15:val="{E47502DF-D46A-495C-A4C2-00924DEA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2829</Characters>
  <Application>Microsoft Office Word</Application>
  <DocSecurity>4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Niess, Raffael</cp:lastModifiedBy>
  <cp:revision>2</cp:revision>
  <cp:lastPrinted>2013-10-21T12:07:00Z</cp:lastPrinted>
  <dcterms:created xsi:type="dcterms:W3CDTF">2026-06-01T16:09:00Z</dcterms:created>
  <dcterms:modified xsi:type="dcterms:W3CDTF">2026-06-01T16:09:00Z</dcterms:modified>
</cp:coreProperties>
</file>