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F1C64C9" w:rsidP="1DB9B46E" w:rsidRDefault="5F1C64C9" w14:paraId="38663094" w14:textId="46683A3A">
      <w:pPr>
        <w:pStyle w:val="Normalny"/>
        <w:jc w:val="center"/>
        <w:rPr>
          <w:rFonts w:ascii="Times New Roman" w:hAnsi="Times New Roman" w:eastAsia="Times New Roman" w:cs="Times New Roman"/>
          <w:b w:val="1"/>
          <w:bCs w:val="1"/>
          <w:noProof w:val="0"/>
          <w:sz w:val="28"/>
          <w:szCs w:val="28"/>
          <w:lang w:val="en-US"/>
        </w:rPr>
      </w:pPr>
      <w:r w:rsidRPr="1DB9B46E" w:rsidR="5F1C64C9">
        <w:rPr>
          <w:rFonts w:ascii="Times New Roman" w:hAnsi="Times New Roman" w:eastAsia="Times New Roman" w:cs="Times New Roman"/>
          <w:b w:val="1"/>
          <w:bCs w:val="1"/>
          <w:noProof w:val="0"/>
          <w:sz w:val="28"/>
          <w:szCs w:val="28"/>
          <w:lang w:val="en-US"/>
        </w:rPr>
        <w:t>Citric Acid-Assisted Electrochemical Etching of Ti</w:t>
      </w:r>
      <w:r w:rsidRPr="1DB9B46E" w:rsidR="5F1C64C9">
        <w:rPr>
          <w:rFonts w:ascii="Times New Roman" w:hAnsi="Times New Roman" w:eastAsia="Times New Roman" w:cs="Times New Roman"/>
          <w:b w:val="1"/>
          <w:bCs w:val="1"/>
          <w:noProof w:val="0"/>
          <w:sz w:val="28"/>
          <w:szCs w:val="28"/>
          <w:vertAlign w:val="subscript"/>
          <w:lang w:val="en-US"/>
        </w:rPr>
        <w:t>3</w:t>
      </w:r>
      <w:r w:rsidRPr="1DB9B46E" w:rsidR="5F1C64C9">
        <w:rPr>
          <w:rFonts w:ascii="Times New Roman" w:hAnsi="Times New Roman" w:eastAsia="Times New Roman" w:cs="Times New Roman"/>
          <w:b w:val="1"/>
          <w:bCs w:val="1"/>
          <w:noProof w:val="0"/>
          <w:sz w:val="28"/>
          <w:szCs w:val="28"/>
          <w:lang w:val="en-US"/>
        </w:rPr>
        <w:t>C</w:t>
      </w:r>
      <w:r w:rsidRPr="1DB9B46E" w:rsidR="5F1C64C9">
        <w:rPr>
          <w:rFonts w:ascii="Times New Roman" w:hAnsi="Times New Roman" w:eastAsia="Times New Roman" w:cs="Times New Roman"/>
          <w:b w:val="1"/>
          <w:bCs w:val="1"/>
          <w:noProof w:val="0"/>
          <w:sz w:val="28"/>
          <w:szCs w:val="28"/>
          <w:vertAlign w:val="subscript"/>
          <w:lang w:val="en-US"/>
        </w:rPr>
        <w:t>2</w:t>
      </w:r>
      <w:r w:rsidRPr="1DB9B46E" w:rsidR="5F1C64C9">
        <w:rPr>
          <w:rFonts w:ascii="Times New Roman" w:hAnsi="Times New Roman" w:eastAsia="Times New Roman" w:cs="Times New Roman"/>
          <w:b w:val="1"/>
          <w:bCs w:val="1"/>
          <w:noProof w:val="0"/>
          <w:sz w:val="28"/>
          <w:szCs w:val="28"/>
          <w:lang w:val="en-US"/>
        </w:rPr>
        <w:t>T</w:t>
      </w:r>
      <w:r w:rsidRPr="1DB9B46E" w:rsidR="5F1C64C9">
        <w:rPr>
          <w:rFonts w:ascii="Times New Roman" w:hAnsi="Times New Roman" w:eastAsia="Times New Roman" w:cs="Times New Roman"/>
          <w:b w:val="1"/>
          <w:bCs w:val="1"/>
          <w:noProof w:val="0"/>
          <w:sz w:val="28"/>
          <w:szCs w:val="28"/>
          <w:vertAlign w:val="subscript"/>
          <w:lang w:val="en-US"/>
        </w:rPr>
        <w:t>x</w:t>
      </w:r>
      <w:r w:rsidRPr="1DB9B46E" w:rsidR="5F1C64C9">
        <w:rPr>
          <w:rFonts w:ascii="Times New Roman" w:hAnsi="Times New Roman" w:eastAsia="Times New Roman" w:cs="Times New Roman"/>
          <w:b w:val="1"/>
          <w:bCs w:val="1"/>
          <w:noProof w:val="0"/>
          <w:sz w:val="28"/>
          <w:szCs w:val="28"/>
          <w:lang w:val="en-US"/>
        </w:rPr>
        <w:t xml:space="preserve"> </w:t>
      </w:r>
      <w:r w:rsidRPr="1DB9B46E" w:rsidR="5F1C64C9">
        <w:rPr>
          <w:rFonts w:ascii="Times New Roman" w:hAnsi="Times New Roman" w:eastAsia="Times New Roman" w:cs="Times New Roman"/>
          <w:b w:val="1"/>
          <w:bCs w:val="1"/>
          <w:noProof w:val="0"/>
          <w:sz w:val="28"/>
          <w:szCs w:val="28"/>
          <w:lang w:val="en-US"/>
        </w:rPr>
        <w:t>MXene</w:t>
      </w:r>
    </w:p>
    <w:p xmlns:wp14="http://schemas.microsoft.com/office/word/2010/wordml" w:rsidRPr="00A86EB9" w:rsidR="00325004" w:rsidP="00E0716D" w:rsidRDefault="00325004" w14:paraId="672A6659" wp14:textId="77777777">
      <w:pPr>
        <w:jc w:val="center"/>
        <w:rPr>
          <w:b/>
          <w:sz w:val="28"/>
        </w:rPr>
      </w:pPr>
    </w:p>
    <w:p xmlns:wp14="http://schemas.microsoft.com/office/word/2010/wordml" w:rsidRPr="00AE2C05" w:rsidR="00AE2C05" w:rsidP="1DB9B46E" w:rsidRDefault="00AE2C05" w14:paraId="188B8D49" wp14:textId="561ED9BA">
      <w:pPr>
        <w:jc w:val="center"/>
        <w:rPr>
          <w:i w:val="0"/>
          <w:iCs w:val="0"/>
          <w:u w:val="single"/>
          <w:lang w:val="pl-PL"/>
        </w:rPr>
      </w:pPr>
      <w:r w:rsidRPr="1DB9B46E" w:rsidR="00AE2C05">
        <w:rPr>
          <w:i w:val="0"/>
          <w:iCs w:val="0"/>
          <w:u w:val="single"/>
          <w:lang w:val="pl-PL"/>
        </w:rPr>
        <w:t>Michalina Bonalska</w:t>
      </w:r>
      <w:r w:rsidRPr="1DB9B46E" w:rsidR="00AE2C05">
        <w:rPr>
          <w:i w:val="0"/>
          <w:iCs w:val="0"/>
          <w:u w:val="none"/>
          <w:vertAlign w:val="superscript"/>
          <w:lang w:val="pl-PL"/>
        </w:rPr>
        <w:t>1*</w:t>
      </w:r>
      <w:r w:rsidRPr="1DB9B46E" w:rsidR="00AE2C05">
        <w:rPr>
          <w:i w:val="0"/>
          <w:iCs w:val="0"/>
          <w:u w:val="none"/>
          <w:lang w:val="pl-PL"/>
        </w:rPr>
        <w:t>, Agnieszka Kramek</w:t>
      </w:r>
      <w:r w:rsidRPr="1DB9B46E" w:rsidR="00AE2C05">
        <w:rPr>
          <w:i w:val="0"/>
          <w:iCs w:val="0"/>
          <w:u w:val="none"/>
          <w:vertAlign w:val="superscript"/>
          <w:lang w:val="pl-PL"/>
        </w:rPr>
        <w:t>2</w:t>
      </w:r>
      <w:r w:rsidRPr="1DB9B46E" w:rsidR="00AE2C05">
        <w:rPr>
          <w:i w:val="0"/>
          <w:iCs w:val="0"/>
          <w:u w:val="none"/>
          <w:lang w:val="pl-PL"/>
        </w:rPr>
        <w:t>, Justyna Gumieniak</w:t>
      </w:r>
      <w:r w:rsidRPr="1DB9B46E" w:rsidR="00AE2C05">
        <w:rPr>
          <w:i w:val="0"/>
          <w:iCs w:val="0"/>
          <w:u w:val="none"/>
          <w:vertAlign w:val="superscript"/>
          <w:lang w:val="pl-PL"/>
        </w:rPr>
        <w:t>2</w:t>
      </w:r>
      <w:r w:rsidRPr="1DB9B46E" w:rsidR="00AE2C05">
        <w:rPr>
          <w:i w:val="0"/>
          <w:iCs w:val="0"/>
          <w:u w:val="none"/>
          <w:lang w:val="pl-PL"/>
        </w:rPr>
        <w:t>, Katarzyna Siuzdak</w:t>
      </w:r>
      <w:r w:rsidRPr="1DB9B46E" w:rsidR="00AE2C05">
        <w:rPr>
          <w:i w:val="0"/>
          <w:iCs w:val="0"/>
          <w:u w:val="none"/>
          <w:vertAlign w:val="superscript"/>
          <w:lang w:val="pl-PL"/>
        </w:rPr>
        <w:t>1</w:t>
      </w:r>
    </w:p>
    <w:p xmlns:wp14="http://schemas.microsoft.com/office/word/2010/wordml" w:rsidRPr="00AE2C05" w:rsidR="00AE2C05" w:rsidP="00AE2C05" w:rsidRDefault="00AE2C05" w14:paraId="1A977A13" wp14:textId="77777777">
      <w:pPr>
        <w:jc w:val="center"/>
        <w:rPr>
          <w:i/>
          <w:iCs/>
        </w:rPr>
      </w:pPr>
      <w:r w:rsidRPr="00AE2C05">
        <w:rPr>
          <w:i/>
          <w:iCs/>
          <w:vertAlign w:val="superscript"/>
        </w:rPr>
        <w:t>1</w:t>
      </w:r>
      <w:r w:rsidRPr="00AE2C05">
        <w:rPr>
          <w:i/>
          <w:iCs/>
        </w:rPr>
        <w:t xml:space="preserve"> Centre of Plasma and Laser Engineering, The </w:t>
      </w:r>
      <w:proofErr w:type="spellStart"/>
      <w:r w:rsidRPr="00AE2C05">
        <w:rPr>
          <w:i/>
          <w:iCs/>
        </w:rPr>
        <w:t>Szewalski</w:t>
      </w:r>
      <w:proofErr w:type="spellEnd"/>
      <w:r w:rsidRPr="00AE2C05">
        <w:rPr>
          <w:i/>
          <w:iCs/>
        </w:rPr>
        <w:t xml:space="preserve"> Institute of Fluid-Flow Machinery Polish Academy of Sciences, </w:t>
      </w:r>
      <w:proofErr w:type="spellStart"/>
      <w:r w:rsidRPr="00AE2C05">
        <w:rPr>
          <w:i/>
          <w:iCs/>
        </w:rPr>
        <w:t>Fiszera</w:t>
      </w:r>
      <w:proofErr w:type="spellEnd"/>
      <w:r w:rsidRPr="00AE2C05">
        <w:rPr>
          <w:i/>
          <w:iCs/>
        </w:rPr>
        <w:t xml:space="preserve"> 14 </w:t>
      </w:r>
      <w:proofErr w:type="spellStart"/>
      <w:r w:rsidRPr="00AE2C05">
        <w:rPr>
          <w:i/>
          <w:iCs/>
        </w:rPr>
        <w:t>st.</w:t>
      </w:r>
      <w:proofErr w:type="spellEnd"/>
      <w:r w:rsidRPr="00AE2C05">
        <w:rPr>
          <w:i/>
          <w:iCs/>
        </w:rPr>
        <w:t xml:space="preserve">, 80-231 </w:t>
      </w:r>
      <w:proofErr w:type="spellStart"/>
      <w:r w:rsidRPr="00AE2C05">
        <w:rPr>
          <w:i/>
          <w:iCs/>
        </w:rPr>
        <w:t>Gdańsk</w:t>
      </w:r>
      <w:proofErr w:type="spellEnd"/>
      <w:r w:rsidRPr="00AE2C05">
        <w:rPr>
          <w:i/>
          <w:iCs/>
        </w:rPr>
        <w:t>, Poland</w:t>
      </w:r>
    </w:p>
    <w:p xmlns:wp14="http://schemas.microsoft.com/office/word/2010/wordml" w:rsidRPr="00AE2C05" w:rsidR="00AE2C05" w:rsidP="00AE2C05" w:rsidRDefault="00AE2C05" w14:paraId="27ED9BD1" wp14:textId="77777777">
      <w:pPr>
        <w:jc w:val="center"/>
        <w:rPr>
          <w:i/>
          <w:iCs/>
        </w:rPr>
      </w:pPr>
      <w:r w:rsidRPr="1DB9B46E" w:rsidR="00AE2C05">
        <w:rPr>
          <w:i w:val="1"/>
          <w:iCs w:val="1"/>
          <w:vertAlign w:val="superscript"/>
        </w:rPr>
        <w:t>2</w:t>
      </w:r>
      <w:r w:rsidRPr="1DB9B46E" w:rsidR="00AE2C05">
        <w:rPr>
          <w:i w:val="1"/>
          <w:iCs w:val="1"/>
        </w:rPr>
        <w:t xml:space="preserve"> The Faculty of Mechanics and Technology, </w:t>
      </w:r>
      <w:proofErr w:type="spellStart"/>
      <w:r w:rsidRPr="1DB9B46E" w:rsidR="00AE2C05">
        <w:rPr>
          <w:i w:val="1"/>
          <w:iCs w:val="1"/>
        </w:rPr>
        <w:t>Rzeszów</w:t>
      </w:r>
      <w:proofErr w:type="spellEnd"/>
      <w:r w:rsidRPr="1DB9B46E" w:rsidR="00AE2C05">
        <w:rPr>
          <w:i w:val="1"/>
          <w:iCs w:val="1"/>
        </w:rPr>
        <w:t xml:space="preserve"> University of Technology, </w:t>
      </w:r>
      <w:proofErr w:type="spellStart"/>
      <w:r w:rsidRPr="1DB9B46E" w:rsidR="00AE2C05">
        <w:rPr>
          <w:i w:val="1"/>
          <w:iCs w:val="1"/>
        </w:rPr>
        <w:t>Kwiatkowskiego</w:t>
      </w:r>
      <w:proofErr w:type="spellEnd"/>
      <w:r w:rsidRPr="1DB9B46E" w:rsidR="00AE2C05">
        <w:rPr>
          <w:i w:val="1"/>
          <w:iCs w:val="1"/>
        </w:rPr>
        <w:t xml:space="preserve"> 4 </w:t>
      </w:r>
      <w:proofErr w:type="spellStart"/>
      <w:r w:rsidRPr="1DB9B46E" w:rsidR="00AE2C05">
        <w:rPr>
          <w:i w:val="1"/>
          <w:iCs w:val="1"/>
        </w:rPr>
        <w:t>st.</w:t>
      </w:r>
      <w:proofErr w:type="spellEnd"/>
      <w:r w:rsidRPr="1DB9B46E" w:rsidR="00AE2C05">
        <w:rPr>
          <w:i w:val="1"/>
          <w:iCs w:val="1"/>
        </w:rPr>
        <w:t xml:space="preserve">, </w:t>
      </w:r>
      <w:r>
        <w:br/>
      </w:r>
      <w:r w:rsidRPr="1DB9B46E" w:rsidR="00AE2C05">
        <w:rPr>
          <w:i w:val="1"/>
          <w:iCs w:val="1"/>
        </w:rPr>
        <w:t xml:space="preserve">37-450 </w:t>
      </w:r>
      <w:proofErr w:type="spellStart"/>
      <w:r w:rsidRPr="1DB9B46E" w:rsidR="00AE2C05">
        <w:rPr>
          <w:i w:val="1"/>
          <w:iCs w:val="1"/>
        </w:rPr>
        <w:t>Stalowa</w:t>
      </w:r>
      <w:proofErr w:type="spellEnd"/>
      <w:r w:rsidRPr="1DB9B46E" w:rsidR="00AE2C05">
        <w:rPr>
          <w:i w:val="1"/>
          <w:iCs w:val="1"/>
        </w:rPr>
        <w:t xml:space="preserve"> </w:t>
      </w:r>
      <w:proofErr w:type="spellStart"/>
      <w:r w:rsidRPr="1DB9B46E" w:rsidR="00AE2C05">
        <w:rPr>
          <w:i w:val="1"/>
          <w:iCs w:val="1"/>
        </w:rPr>
        <w:t>Wola</w:t>
      </w:r>
      <w:proofErr w:type="spellEnd"/>
      <w:r w:rsidRPr="1DB9B46E" w:rsidR="00AE2C05">
        <w:rPr>
          <w:i w:val="1"/>
          <w:iCs w:val="1"/>
        </w:rPr>
        <w:t>, Poland</w:t>
      </w:r>
    </w:p>
    <w:p xmlns:wp14="http://schemas.microsoft.com/office/word/2010/wordml" w:rsidRPr="00AE2C05" w:rsidR="00AE2C05" w:rsidP="00AE2C05" w:rsidRDefault="00AE2C05" w14:paraId="4F50D342" wp14:textId="77777777">
      <w:pPr>
        <w:jc w:val="center"/>
        <w:rPr>
          <w:i/>
          <w:iCs/>
        </w:rPr>
      </w:pPr>
      <w:r w:rsidRPr="00AE2C05">
        <w:rPr>
          <w:i/>
          <w:iCs/>
          <w:vertAlign w:val="superscript"/>
        </w:rPr>
        <w:t>*</w:t>
      </w:r>
      <w:r w:rsidRPr="00AE2C05">
        <w:rPr>
          <w:i/>
          <w:iCs/>
        </w:rPr>
        <w:t xml:space="preserve"> </w:t>
      </w:r>
      <w:hyperlink w:history="1" r:id="rId4">
        <w:r w:rsidRPr="00AE2C05">
          <w:rPr>
            <w:rStyle w:val="Hipercze"/>
            <w:i/>
            <w:iCs/>
          </w:rPr>
          <w:t>mbonalska@imp.gda.pl</w:t>
        </w:r>
      </w:hyperlink>
      <w:r w:rsidRPr="00AE2C05">
        <w:rPr>
          <w:i/>
          <w:iCs/>
        </w:rPr>
        <w:t xml:space="preserve"> </w:t>
      </w:r>
    </w:p>
    <w:p xmlns:wp14="http://schemas.microsoft.com/office/word/2010/wordml" w:rsidR="00325004" w:rsidP="00E0716D" w:rsidRDefault="00325004" w14:paraId="0A37501D" wp14:textId="77777777">
      <w:pPr>
        <w:jc w:val="center"/>
      </w:pPr>
    </w:p>
    <w:p xmlns:wp14="http://schemas.microsoft.com/office/word/2010/wordml" w:rsidRPr="00AE2C05" w:rsidR="00AE2C05" w:rsidP="697B02B9" w:rsidRDefault="00AE2C05" w14:paraId="7AD7375B" wp14:textId="77777777">
      <w:pPr>
        <w:spacing w:line="240" w:lineRule="auto"/>
        <w:jc w:val="both"/>
      </w:pPr>
      <w:r w:rsidR="00AE2C05">
        <w:rPr/>
        <w:t>MXenes</w:t>
      </w:r>
      <w:r w:rsidR="00AE2C05">
        <w:rPr/>
        <w:t xml:space="preserve"> exhibit unique physicochemical properties among two-dimensional nanomaterials, including large surface area, high electrical conductivity and tunable surface chemistry, making them attractive for numerous applications. However, broader utilization and commercialization remain limited due to conventional synthesis routes involving hazardous hydrofluoric acid [1]. Recent studies have demonstrated the feasibility of electrochemical </w:t>
      </w:r>
      <w:r w:rsidR="00AE2C05">
        <w:rPr/>
        <w:t>MXene</w:t>
      </w:r>
      <w:r w:rsidR="00AE2C05">
        <w:rPr/>
        <w:t xml:space="preserve"> synthesis in fluoride-releasing environments [2,3], motivating the development of alternative electrolyte systems enabling safer and more controllable etching strategies. </w:t>
      </w:r>
    </w:p>
    <w:p xmlns:wp14="http://schemas.microsoft.com/office/word/2010/wordml" w:rsidRPr="00AE2C05" w:rsidR="00AE2C05" w:rsidP="697B02B9" w:rsidRDefault="00AE2C05" w14:paraId="78BA21A9" wp14:textId="77777777">
      <w:pPr>
        <w:spacing w:line="240" w:lineRule="auto"/>
        <w:jc w:val="both"/>
      </w:pPr>
      <w:r w:rsidR="00AE2C05">
        <w:rPr/>
        <w:t>This study presents an electrochemically-assisted etching of Ti</w:t>
      </w:r>
      <w:r w:rsidRPr="697B02B9" w:rsidR="00AE2C05">
        <w:rPr>
          <w:vertAlign w:val="subscript"/>
        </w:rPr>
        <w:t>3</w:t>
      </w:r>
      <w:r w:rsidR="00AE2C05">
        <w:rPr/>
        <w:t>C</w:t>
      </w:r>
      <w:r w:rsidRPr="697B02B9" w:rsidR="00AE2C05">
        <w:rPr>
          <w:vertAlign w:val="subscript"/>
        </w:rPr>
        <w:t>2</w:t>
      </w:r>
      <w:r w:rsidR="00AE2C05">
        <w:rPr/>
        <w:t>T</w:t>
      </w:r>
      <w:r w:rsidRPr="697B02B9" w:rsidR="00AE2C05">
        <w:rPr>
          <w:vertAlign w:val="subscript"/>
        </w:rPr>
        <w:t>x</w:t>
      </w:r>
      <w:r w:rsidR="00AE2C05">
        <w:rPr/>
        <w:t xml:space="preserve"> </w:t>
      </w:r>
      <w:r w:rsidR="00AE2C05">
        <w:rPr/>
        <w:t>MXene</w:t>
      </w:r>
      <w:r w:rsidR="00AE2C05">
        <w:rPr/>
        <w:t xml:space="preserve"> from the Ti</w:t>
      </w:r>
      <w:r w:rsidRPr="697B02B9" w:rsidR="00AE2C05">
        <w:rPr>
          <w:vertAlign w:val="subscript"/>
        </w:rPr>
        <w:t>3</w:t>
      </w:r>
      <w:r w:rsidR="00AE2C05">
        <w:rPr/>
        <w:t>AlC</w:t>
      </w:r>
      <w:r w:rsidRPr="697B02B9" w:rsidR="00AE2C05">
        <w:rPr>
          <w:vertAlign w:val="subscript"/>
        </w:rPr>
        <w:t>2</w:t>
      </w:r>
      <w:r w:rsidR="00AE2C05">
        <w:rPr/>
        <w:t xml:space="preserve"> MAX phase using an aqueous electrolyte composed of sodium </w:t>
      </w:r>
      <w:r w:rsidR="00AE2C05">
        <w:rPr/>
        <w:t>tetrafluoroborate</w:t>
      </w:r>
      <w:r w:rsidR="00AE2C05">
        <w:rPr/>
        <w:t xml:space="preserve">, hydrochloric acid and citric acid. A two-electrode configuration under direct current conditions was applied for 24 hours. The MAX phase was deposited onto a glassy carbon plate and served as the anode for selective removal of Al layers. Citric acid acts as an </w:t>
      </w:r>
      <w:r w:rsidR="00AE2C05">
        <w:rPr/>
        <w:t>aluminium</w:t>
      </w:r>
      <w:r w:rsidR="00AE2C05">
        <w:rPr/>
        <w:t xml:space="preserve">-complexing agent, influencing etching kinetics and structural expansion. </w:t>
      </w:r>
    </w:p>
    <w:p xmlns:wp14="http://schemas.microsoft.com/office/word/2010/wordml" w:rsidR="00325004" w:rsidP="697B02B9" w:rsidRDefault="00AE2C05" w14:paraId="7B1EE9A3" wp14:textId="77777777">
      <w:pPr>
        <w:spacing w:line="240" w:lineRule="auto"/>
        <w:jc w:val="both"/>
      </w:pPr>
      <w:r w:rsidR="00AE2C05">
        <w:rPr/>
        <w:t>Subsequent delamination was performed in dimethyl sulfoxide for 23 hours. Morphological and structural characterization of vacuum-dried flakes confirmed successful conversion from Ti</w:t>
      </w:r>
      <w:r w:rsidRPr="697B02B9" w:rsidR="00AE2C05">
        <w:rPr>
          <w:vertAlign w:val="subscript"/>
        </w:rPr>
        <w:t>3</w:t>
      </w:r>
      <w:r w:rsidR="00AE2C05">
        <w:rPr/>
        <w:t>AlC</w:t>
      </w:r>
      <w:r w:rsidRPr="697B02B9" w:rsidR="00AE2C05">
        <w:rPr>
          <w:vertAlign w:val="subscript"/>
        </w:rPr>
        <w:t>2</w:t>
      </w:r>
      <w:r w:rsidR="00AE2C05">
        <w:rPr/>
        <w:t xml:space="preserve"> to Ti</w:t>
      </w:r>
      <w:r w:rsidRPr="697B02B9" w:rsidR="00AE2C05">
        <w:rPr>
          <w:vertAlign w:val="subscript"/>
        </w:rPr>
        <w:t>3</w:t>
      </w:r>
      <w:r w:rsidR="00AE2C05">
        <w:rPr/>
        <w:t>C</w:t>
      </w:r>
      <w:r w:rsidRPr="697B02B9" w:rsidR="00AE2C05">
        <w:rPr>
          <w:vertAlign w:val="subscript"/>
        </w:rPr>
        <w:t>2</w:t>
      </w:r>
      <w:r w:rsidR="00AE2C05">
        <w:rPr/>
        <w:t>T</w:t>
      </w:r>
      <w:r w:rsidRPr="697B02B9" w:rsidR="00AE2C05">
        <w:rPr>
          <w:vertAlign w:val="subscript"/>
        </w:rPr>
        <w:t>x</w:t>
      </w:r>
      <w:r w:rsidR="00AE2C05">
        <w:rPr/>
        <w:t xml:space="preserve">. Scanning electron microscopy revealed expansion and delamination of the multilayered structure, while Raman spectroscopy showed vibrational features characteristic of </w:t>
      </w:r>
      <w:r w:rsidR="00AE2C05">
        <w:rPr/>
        <w:t>MXene</w:t>
      </w:r>
      <w:r w:rsidR="00AE2C05">
        <w:rPr/>
        <w:t xml:space="preserve">. XPS studies were utilized to gain information about the chemical nature of obtained powders. These results demonstrate that electrolyte engineering combined with electrochemical control provides an effective and potentially scalable route for </w:t>
      </w:r>
      <w:r w:rsidR="00AE2C05">
        <w:rPr/>
        <w:t>MXene</w:t>
      </w:r>
      <w:r w:rsidR="00AE2C05">
        <w:rPr/>
        <w:t xml:space="preserve"> synthesis suitable for sensing and energy storage applications</w:t>
      </w:r>
    </w:p>
    <w:p xmlns:wp14="http://schemas.microsoft.com/office/word/2010/wordml" w:rsidR="00325004" w:rsidP="00E0716D" w:rsidRDefault="00325004" w14:paraId="5DAB6C7B" wp14:textId="77777777">
      <w:pPr>
        <w:jc w:val="both"/>
      </w:pPr>
    </w:p>
    <w:p xmlns:wp14="http://schemas.microsoft.com/office/word/2010/wordml" w:rsidRPr="00AE2C05" w:rsidR="00AE2C05" w:rsidP="00AE2C05" w:rsidRDefault="00AE2C05" w14:paraId="5D43EBCC" wp14:textId="77777777">
      <w:pPr>
        <w:jc w:val="both"/>
      </w:pPr>
      <w:r w:rsidRPr="00AE2C05">
        <w:t>[1] C.E. Shuck et al., Adv. Eng. Mater. 2020, 22, 1901241</w:t>
      </w:r>
    </w:p>
    <w:p xmlns:wp14="http://schemas.microsoft.com/office/word/2010/wordml" w:rsidRPr="00AE2C05" w:rsidR="00AE2C05" w:rsidP="00AE2C05" w:rsidRDefault="00AE2C05" w14:paraId="02E91D85" wp14:textId="77777777">
      <w:pPr>
        <w:jc w:val="both"/>
      </w:pPr>
      <w:r w:rsidRPr="00AE2C05">
        <w:t xml:space="preserve">[2] D.S. </w:t>
      </w:r>
      <w:proofErr w:type="spellStart"/>
      <w:r w:rsidRPr="00AE2C05">
        <w:t>Kouao</w:t>
      </w:r>
      <w:proofErr w:type="spellEnd"/>
      <w:r w:rsidRPr="00AE2C05">
        <w:t xml:space="preserve">, K. </w:t>
      </w:r>
      <w:proofErr w:type="spellStart"/>
      <w:r w:rsidRPr="00AE2C05">
        <w:t>Siuzdak</w:t>
      </w:r>
      <w:proofErr w:type="spellEnd"/>
      <w:r w:rsidRPr="00AE2C05">
        <w:t>, 2D Materials 2026, 13, 012003</w:t>
      </w:r>
    </w:p>
    <w:p xmlns:wp14="http://schemas.microsoft.com/office/word/2010/wordml" w:rsidRPr="00AE2C05" w:rsidR="00AE2C05" w:rsidP="00AE2C05" w:rsidRDefault="00AE2C05" w14:paraId="1DF48519" wp14:textId="77777777">
      <w:pPr>
        <w:jc w:val="both"/>
      </w:pPr>
      <w:r w:rsidRPr="00AE2C05">
        <w:t xml:space="preserve">[3] M. </w:t>
      </w:r>
      <w:proofErr w:type="spellStart"/>
      <w:r w:rsidRPr="00AE2C05">
        <w:t>Ostermann</w:t>
      </w:r>
      <w:proofErr w:type="spellEnd"/>
      <w:r w:rsidRPr="00AE2C05">
        <w:t xml:space="preserve"> et al., Small 2025, 21, 2500807</w:t>
      </w:r>
    </w:p>
    <w:p xmlns:wp14="http://schemas.microsoft.com/office/word/2010/wordml" w:rsidRPr="00AE2C05" w:rsidR="00AE2C05" w:rsidP="00AE2C05" w:rsidRDefault="00AE2C05" w14:paraId="02EB378F" wp14:textId="77777777">
      <w:pPr>
        <w:jc w:val="both"/>
      </w:pPr>
    </w:p>
    <w:p xmlns:wp14="http://schemas.microsoft.com/office/word/2010/wordml" w:rsidRPr="00AE2C05" w:rsidR="00AE2C05" w:rsidP="00AE2C05" w:rsidRDefault="00AE2C05" w14:paraId="3AFCD91A" wp14:textId="77777777">
      <w:pPr>
        <w:jc w:val="both"/>
        <w:rPr>
          <w:i/>
          <w:iCs/>
        </w:rPr>
      </w:pPr>
      <w:r w:rsidRPr="00AE2C05">
        <w:rPr>
          <w:i/>
          <w:iCs/>
        </w:rPr>
        <w:t>This work was financiall</w:t>
      </w:r>
      <w:bookmarkStart w:name="_GoBack" w:id="0"/>
      <w:bookmarkEnd w:id="0"/>
      <w:r w:rsidRPr="00AE2C05">
        <w:rPr>
          <w:i/>
          <w:iCs/>
        </w:rPr>
        <w:t>y supported by the National Science Centre (Poland) via M-ERA.NET grant no.: 2024/06/Y/ST11/00223</w:t>
      </w:r>
    </w:p>
    <w:p xmlns:wp14="http://schemas.microsoft.com/office/word/2010/wordml" w:rsidR="00AE2C05" w:rsidP="00E0716D" w:rsidRDefault="00AE2C05" w14:paraId="6A05A809" wp14:textId="77777777">
      <w:pPr>
        <w:jc w:val="both"/>
      </w:pPr>
    </w:p>
    <w:p xmlns:wp14="http://schemas.microsoft.com/office/word/2010/wordml" w:rsidR="00325004" w:rsidP="00E0716D" w:rsidRDefault="00325004" w14:paraId="5A39BBE3" wp14:textId="77777777">
      <w:pPr>
        <w:jc w:val="both"/>
      </w:pPr>
    </w:p>
    <w:p xmlns:wp14="http://schemas.microsoft.com/office/word/2010/wordml" w:rsidR="00E0716D" w:rsidP="00E0716D" w:rsidRDefault="00E0716D" w14:paraId="41C8F396" wp14:textId="77777777">
      <w:pPr>
        <w:jc w:val="both"/>
      </w:pPr>
    </w:p>
    <w:sectPr w:rsidR="00E0716D" w:rsidSect="00F97641">
      <w:footnotePr>
        <w:numRestart w:val="eachSect"/>
      </w:footnotePr>
      <w:endnotePr>
        <w:numFmt w:val="decimal"/>
      </w:endnotePr>
      <w:pgSz w:w="11907" w:h="16840" w:orient="portrait"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04"/>
    <w:rsid w:val="00041EFD"/>
    <w:rsid w:val="00325004"/>
    <w:rsid w:val="00536366"/>
    <w:rsid w:val="00685C1A"/>
    <w:rsid w:val="00AE2C05"/>
    <w:rsid w:val="00CA1765"/>
    <w:rsid w:val="00E0716D"/>
    <w:rsid w:val="00F97641"/>
    <w:rsid w:val="0579FF6B"/>
    <w:rsid w:val="1DB9B46E"/>
    <w:rsid w:val="578BB0A2"/>
    <w:rsid w:val="5F1C64C9"/>
    <w:rsid w:val="697B02B9"/>
    <w:rsid w:val="758BF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6CB2AE"/>
  <w14:defaultImageDpi w14:val="300"/>
  <w15:docId w15:val="{35F32ADD-327F-4794-BC46-0F8FCFC90F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ny" w:default="1">
    <w:name w:val="Normal"/>
    <w:qFormat/>
    <w:rsid w:val="00E0716D"/>
    <w:pPr>
      <w:widowControl w:val="0"/>
    </w:pPr>
    <w:rPr>
      <w:snapToGrid w:val="0"/>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Hipercze">
    <w:name w:val="Hyperlink"/>
    <w:basedOn w:val="Domylnaczcionkaakapitu"/>
    <w:uiPriority w:val="99"/>
    <w:unhideWhenUsed/>
    <w:rsid w:val="00AE2C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mailto:mbonalska@imp.gda.pl" TargetMode="Externa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Electrochemical Society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
  <dc:creator>Electrochemical</dc:creator>
  <keywords/>
  <lastModifiedBy>Michalina Bonalska, s185399</lastModifiedBy>
  <revision>5</revision>
  <lastPrinted>2013-10-21T12:07:00.0000000Z</lastPrinted>
  <dcterms:created xsi:type="dcterms:W3CDTF">2026-04-15T05:47:00.0000000Z</dcterms:created>
  <dcterms:modified xsi:type="dcterms:W3CDTF">2026-04-16T11:02:06.0696719Z</dcterms:modified>
</coreProperties>
</file>