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9F5E21" w14:textId="3F4E1465" w:rsidR="009B3D62" w:rsidRPr="00A86EB9" w:rsidRDefault="00C71DB5" w:rsidP="009B3D62">
      <w:pPr>
        <w:jc w:val="center"/>
        <w:rPr>
          <w:b/>
          <w:sz w:val="28"/>
        </w:rPr>
      </w:pPr>
      <w:r w:rsidRPr="00C71DB5">
        <w:rPr>
          <w:b/>
          <w:sz w:val="28"/>
        </w:rPr>
        <w:t>Building Material Libraries for IPA Oxidation Catalysts via Scanning-Flow-Cell Electrodeposition</w:t>
      </w:r>
    </w:p>
    <w:p w14:paraId="79EAE72F" w14:textId="01E24B91" w:rsidR="009B3D62" w:rsidRPr="0003650B" w:rsidRDefault="009B3D62" w:rsidP="009B3D62">
      <w:pPr>
        <w:jc w:val="center"/>
      </w:pPr>
      <w:r>
        <w:rPr>
          <w:u w:val="single"/>
        </w:rPr>
        <w:t xml:space="preserve">Anna-Lena </w:t>
      </w:r>
      <w:proofErr w:type="spellStart"/>
      <w:proofErr w:type="gramStart"/>
      <w:r>
        <w:rPr>
          <w:u w:val="single"/>
        </w:rPr>
        <w:t>Heß</w:t>
      </w:r>
      <w:r w:rsidRPr="0003650B">
        <w:t>,</w:t>
      </w:r>
      <w:r>
        <w:rPr>
          <w:vertAlign w:val="superscript"/>
        </w:rPr>
        <w:t>a</w:t>
      </w:r>
      <w:proofErr w:type="spellEnd"/>
      <w:proofErr w:type="gramEnd"/>
      <w:r>
        <w:rPr>
          <w:vertAlign w:val="superscript"/>
        </w:rPr>
        <w:t>, b</w:t>
      </w:r>
      <w:r w:rsidRPr="0003650B">
        <w:t xml:space="preserve"> K</w:t>
      </w:r>
      <w:r>
        <w:t xml:space="preserve">arl </w:t>
      </w:r>
      <w:r w:rsidRPr="0003650B">
        <w:t>J.J. Mayrhofer,</w:t>
      </w:r>
      <w:r w:rsidRPr="0003650B">
        <w:rPr>
          <w:vertAlign w:val="superscript"/>
        </w:rPr>
        <w:t xml:space="preserve"> </w:t>
      </w:r>
      <w:r>
        <w:rPr>
          <w:vertAlign w:val="superscript"/>
        </w:rPr>
        <w:t>a, b</w:t>
      </w:r>
      <w:r w:rsidRPr="0003650B">
        <w:t xml:space="preserve"> D</w:t>
      </w:r>
      <w:r>
        <w:t>ominik</w:t>
      </w:r>
      <w:r w:rsidRPr="0003650B">
        <w:t xml:space="preserve"> Dworschak</w:t>
      </w:r>
      <w:r w:rsidRPr="0003650B">
        <w:rPr>
          <w:vertAlign w:val="superscript"/>
        </w:rPr>
        <w:t xml:space="preserve"> </w:t>
      </w:r>
      <w:r>
        <w:rPr>
          <w:vertAlign w:val="superscript"/>
        </w:rPr>
        <w:t>a</w:t>
      </w:r>
    </w:p>
    <w:p w14:paraId="43B4018E" w14:textId="77777777" w:rsidR="009B3D62" w:rsidRPr="0003650B" w:rsidRDefault="009B3D62" w:rsidP="009B3D62">
      <w:pPr>
        <w:jc w:val="center"/>
        <w:rPr>
          <w:i/>
          <w:lang w:val="de-DE"/>
        </w:rPr>
      </w:pPr>
      <w:r>
        <w:rPr>
          <w:i/>
          <w:lang w:val="de-DE"/>
        </w:rPr>
        <w:t xml:space="preserve">a) </w:t>
      </w:r>
      <w:r w:rsidRPr="0003650B">
        <w:rPr>
          <w:i/>
          <w:lang w:val="de-DE"/>
        </w:rPr>
        <w:t xml:space="preserve">Helmholtz Institute Erlangen-Nürnberg </w:t>
      </w:r>
      <w:proofErr w:type="spellStart"/>
      <w:r w:rsidRPr="0003650B">
        <w:rPr>
          <w:i/>
          <w:lang w:val="de-DE"/>
        </w:rPr>
        <w:t>for</w:t>
      </w:r>
      <w:proofErr w:type="spellEnd"/>
      <w:r w:rsidRPr="0003650B">
        <w:rPr>
          <w:i/>
          <w:lang w:val="de-DE"/>
        </w:rPr>
        <w:t xml:space="preserve"> </w:t>
      </w:r>
      <w:proofErr w:type="spellStart"/>
      <w:r w:rsidRPr="0003650B">
        <w:rPr>
          <w:i/>
          <w:lang w:val="de-DE"/>
        </w:rPr>
        <w:t>Renewable</w:t>
      </w:r>
      <w:proofErr w:type="spellEnd"/>
      <w:r w:rsidRPr="0003650B">
        <w:rPr>
          <w:i/>
          <w:lang w:val="de-DE"/>
        </w:rPr>
        <w:t xml:space="preserve"> Energy</w:t>
      </w:r>
      <w:r>
        <w:rPr>
          <w:i/>
          <w:lang w:val="de-DE"/>
        </w:rPr>
        <w:t xml:space="preserve"> </w:t>
      </w:r>
      <w:r w:rsidRPr="0003650B">
        <w:rPr>
          <w:i/>
          <w:lang w:val="de-DE"/>
        </w:rPr>
        <w:t xml:space="preserve">(IET-2), Forschungszentrum Jülich, </w:t>
      </w:r>
      <w:proofErr w:type="spellStart"/>
      <w:r w:rsidRPr="0003650B">
        <w:rPr>
          <w:i/>
          <w:lang w:val="de-DE"/>
        </w:rPr>
        <w:t>Cauerstr</w:t>
      </w:r>
      <w:proofErr w:type="spellEnd"/>
      <w:r w:rsidRPr="0003650B">
        <w:rPr>
          <w:i/>
          <w:lang w:val="de-DE"/>
        </w:rPr>
        <w:t>. 1, 91058 Erlangen,</w:t>
      </w:r>
      <w:r>
        <w:rPr>
          <w:i/>
          <w:lang w:val="de-DE"/>
        </w:rPr>
        <w:t xml:space="preserve"> </w:t>
      </w:r>
      <w:r w:rsidRPr="009B3D62">
        <w:rPr>
          <w:i/>
          <w:lang w:val="de-DE"/>
        </w:rPr>
        <w:t>Germany</w:t>
      </w:r>
    </w:p>
    <w:p w14:paraId="6BAC7009" w14:textId="77777777" w:rsidR="009B3D62" w:rsidRPr="009B3D62" w:rsidRDefault="009B3D62" w:rsidP="009B3D62">
      <w:pPr>
        <w:jc w:val="center"/>
        <w:rPr>
          <w:i/>
          <w:lang w:val="de-DE"/>
        </w:rPr>
      </w:pPr>
      <w:r w:rsidRPr="009B3D62">
        <w:rPr>
          <w:i/>
          <w:lang w:val="de-DE"/>
        </w:rPr>
        <w:t xml:space="preserve">b) Department </w:t>
      </w:r>
      <w:proofErr w:type="spellStart"/>
      <w:r w:rsidRPr="009B3D62">
        <w:rPr>
          <w:i/>
          <w:lang w:val="de-DE"/>
        </w:rPr>
        <w:t>of</w:t>
      </w:r>
      <w:proofErr w:type="spellEnd"/>
      <w:r w:rsidRPr="009B3D62">
        <w:rPr>
          <w:i/>
          <w:lang w:val="de-DE"/>
        </w:rPr>
        <w:t xml:space="preserve"> Chemical and Biological Engineering, Friedrich-Alexander-Universität Erlangen Nürnberg, </w:t>
      </w:r>
      <w:proofErr w:type="spellStart"/>
      <w:r w:rsidRPr="009B3D62">
        <w:rPr>
          <w:i/>
          <w:lang w:val="de-DE"/>
        </w:rPr>
        <w:t>Cauerstr</w:t>
      </w:r>
      <w:proofErr w:type="spellEnd"/>
      <w:r w:rsidRPr="009B3D62">
        <w:rPr>
          <w:i/>
          <w:lang w:val="de-DE"/>
        </w:rPr>
        <w:t>. 1, 91058 Erlangen, Germany.</w:t>
      </w:r>
    </w:p>
    <w:p w14:paraId="7DFC8E98" w14:textId="5FDFE955" w:rsidR="003E4C2C" w:rsidRPr="00D07B41" w:rsidRDefault="003E4C2C" w:rsidP="003E4C2C">
      <w:pPr>
        <w:jc w:val="center"/>
        <w:rPr>
          <w:i/>
          <w:lang w:val="de-DE"/>
        </w:rPr>
      </w:pPr>
      <w:r w:rsidRPr="00D07B41">
        <w:rPr>
          <w:i/>
          <w:lang w:val="de-DE"/>
        </w:rPr>
        <w:t>a.hess@fz-juelich.de</w:t>
      </w:r>
    </w:p>
    <w:p w14:paraId="2A02F34C" w14:textId="77777777" w:rsidR="003E4C2C" w:rsidRPr="00D07B41" w:rsidRDefault="003E4C2C" w:rsidP="009B3D62">
      <w:pPr>
        <w:jc w:val="center"/>
        <w:rPr>
          <w:i/>
          <w:lang w:val="de-DE"/>
        </w:rPr>
      </w:pPr>
    </w:p>
    <w:p w14:paraId="0E2A1404" w14:textId="7863DAC5" w:rsidR="003330E9" w:rsidRDefault="00BD7645" w:rsidP="00E0716D">
      <w:pPr>
        <w:jc w:val="both"/>
      </w:pPr>
      <w:r w:rsidRPr="00BD7645">
        <w:t xml:space="preserve">As the transition to renewable energy accelerates, the need for </w:t>
      </w:r>
      <w:r>
        <w:t>efficient seasonal energy storage solutions continues to grow</w:t>
      </w:r>
      <w:r w:rsidR="003E4C2C">
        <w:t>.</w:t>
      </w:r>
      <w:r>
        <w:t xml:space="preserve"> </w:t>
      </w:r>
      <w:r w:rsidR="003E4C2C">
        <w:t xml:space="preserve">Isopropanol (IPA) and acetone </w:t>
      </w:r>
      <w:r w:rsidR="00EB714D" w:rsidRPr="00EB714D">
        <w:t>represent a promising, cost-effective, and non-toxic redox couple for electrochemical hydrogen storage. In this cycle, acetone is reduced to IPA to store hydrogen, which is then released on demand via the oxidation of IPA back to acetone</w:t>
      </w:r>
      <w:r w:rsidR="003330E9">
        <w:t>.</w:t>
      </w:r>
      <w:r w:rsidR="003330E9">
        <w:fldChar w:fldCharType="begin"/>
      </w:r>
      <w:r w:rsidR="003330E9">
        <w:instrText xml:space="preserve"> ADDIN ZOTERO_ITEM CSL_CITATION {"citationID":"0MqP1cih","properties":{"unsorted":false,"formattedCitation":"\\super 1\\nosupersub{}","plainCitation":"1","noteIndex":0},"citationItems":[{"id":713,"uris":["http://zotero.org/users/17497864/items/IQXBQQTV"],"itemData":{"id":713,"type":"article-journal","abstract":"Liquid organic hydrogen carrier (LOHC) systems offer a promising way to store hydrogen using the existing infrastructure for liquid fuels. While LOHC hydrogenation and dehydrogenation processes have so far mainly been investigated using thermocatalytic processes, this work explores the concept of a low-temperature (&lt;80 °C) electrochemical acetone/isopropanol LOHC cycle and indicates its potential benefits for a future hydrogen economy. This electrochemical liquid organic hydrogen carrier (EC-LOHC) system builds on low-cost chemicals with low ecotoxicology. In this study, the influence of temperature and fuel concentrations on the polarization curves of the electrochemical hydrogenation and dehydrogenation units in a small, single-cell set-up is investigated using proton exchange membrane fuel cell components. Based on the experimental results, efficiencies are determined for a power-to-power cycle that can be competitive to mature hydrogen storage technologies, such as liquid and compressed hydrogen storage. Finally, material-related challenges are discussed, encouraging future research in this new field of hydrogen storage.","citation-key":"Venus_2025_ElectrochemicalAcetoneIsopropanolHydrogenationCycleAlternativeCurrentHydrogenStorageSolutionsa","container-title":"Advanced Energy Materials","DOI":"10.1002/aenm.202403824","ISSN":"1614-6840","issue":"12","language":"en","license":"© 2024 The Author(s). Advanced Energy Materials published by Wiley-VCH GmbH","note":"_eprint: https://advanced.onlinelibrary.wiley.com/doi/pdf/10.1002/aenm.202403824","page":"2403824","source":"Wiley Online Library","title":"The Electrochemical Acetone/Isopropanol Hydrogenation Cycle – An Alternative to Current Hydrogen Storage Solutions","volume":"15","author":[{"family":"Venus","given":"Dominik"},{"family":"Marth","given":"Axel"},{"family":"Riess","given":"Sebastian"},{"family":"Freiberg","given":"Anna T.S."},{"family":"Brodt","given":"Matthew"},{"family":"Wensing","given":"Michael"},{"family":"Wasserscheid","given":"Peter"},{"family":"Thiele","given":"Simon"}],"issued":{"date-parts":[["2025"]]}}}],"schema":"https://github.com/citation-style-language/schema/raw/master/csl-citation.json"} </w:instrText>
      </w:r>
      <w:r w:rsidR="003330E9">
        <w:fldChar w:fldCharType="separate"/>
      </w:r>
      <w:r w:rsidR="003330E9" w:rsidRPr="003330E9">
        <w:rPr>
          <w:vertAlign w:val="superscript"/>
        </w:rPr>
        <w:t>1</w:t>
      </w:r>
      <w:r w:rsidR="003330E9">
        <w:fldChar w:fldCharType="end"/>
      </w:r>
      <w:r w:rsidR="003E4C2C">
        <w:t xml:space="preserve"> </w:t>
      </w:r>
    </w:p>
    <w:p w14:paraId="7C56CBBE" w14:textId="578BCBA7" w:rsidR="003E4C2C" w:rsidRDefault="003E4C2C" w:rsidP="00E0716D">
      <w:pPr>
        <w:jc w:val="both"/>
      </w:pPr>
      <w:r>
        <w:t>However, the efficiency of this cycle is currently limited by the oxidation of IPA</w:t>
      </w:r>
      <w:r w:rsidR="003330E9">
        <w:t xml:space="preserve"> to acetone</w:t>
      </w:r>
      <w:r>
        <w:t>. While Platinum-Ruthenium (</w:t>
      </w:r>
      <w:proofErr w:type="spellStart"/>
      <w:r>
        <w:t>PtRu</w:t>
      </w:r>
      <w:proofErr w:type="spellEnd"/>
      <w:r>
        <w:t>) alloys are the state-of-the-art catalysts for this reaction</w:t>
      </w:r>
      <w:r w:rsidR="008F374C">
        <w:fldChar w:fldCharType="begin"/>
      </w:r>
      <w:r w:rsidR="008F374C">
        <w:instrText xml:space="preserve"> ADDIN ZOTERO_ITEM CSL_CITATION {"citationID":"akQ0x9S2","properties":{"unsorted":false,"formattedCitation":"\\super 2\\nosupersub{}","plainCitation":"2","noteIndex":0},"citationItems":[{"id":716,"uris":["http://zotero.org/users/17497864/items/SBJAUHHI"],"itemData":{"id":716,"type":"article-journal","abstract":"Liquid Organic Hydrogen Carriers (LOHC) offer a promising solution for hydrogen storage in the existing infrastructure for conventional fuels. Within this framework, the isopropanol/acetone couple as a light-LOHC system is used to generate electricity in a direct isopropanol fuel cell (DIFC). This work focuses on the impact of catalyst loading, ionomer content and catalyst support on the performance of DIFCs. We achieve a performance rise from 95 mW cm-2 to 219 mW cm-2 under air operation by increasing the anode catalyst loading from 0.5 mg cm-2 to 4 mg cm-2, which can be attributed to the increased abundance of active catalyst sites with higher loadings. In contrast, we find that the cathode loading for the oxygen reduction reaction (ORR) plays a minor role in the performance of DIFCs. Therefore, the cathode loading can be minimized to decrease the total amount of platinum-group metals and, consequently, to save cost. It was also found that an ionomer content of 30% on the anode side is optimal. Additionally, different carbon supports were investigated, where advanced high surface area carbon support showed superior performance to Vulcan with an increase of 20% in power density, motivating the development of new carbon supports for DIFCs.","citation-key":"Hauenstein_2021_ImpactCatalystLoadingIonomerContentCarbonSupportPerformanceDirectIsopropanolFuelCells","container-title":"Journal of Power Sources Advances","DOI":"10.1016/j.powera.2021.100064","ISSN":"2666-2485","journalAbbreviation":"Journal of Power Sources Advances","page":"100064","source":"ScienceDirect","title":"Impact of catalyst loading, ionomer content, and carbon support on the performance of direct isopropanol fuel cells","volume":"10","author":[{"family":"Hauenstein","given":"Pascal"},{"family":"Mangoufis-Giasin","given":"Iosif"},{"family":"Seeberger","given":"Dominik"},{"family":"Wasserscheid","given":"Peter"},{"family":"Mayrhofer","given":"Karl J. J."},{"family":"Katsounaros","given":"Ioannis"},{"family":"Thiele","given":"Simon"}],"issued":{"date-parts":[["2021",8,1]]}}}],"schema":"https://github.com/citation-style-language/schema/raw/master/csl-citation.json"} </w:instrText>
      </w:r>
      <w:r w:rsidR="008F374C">
        <w:fldChar w:fldCharType="separate"/>
      </w:r>
      <w:r w:rsidR="008F374C" w:rsidRPr="008F374C">
        <w:rPr>
          <w:vertAlign w:val="superscript"/>
        </w:rPr>
        <w:t>2</w:t>
      </w:r>
      <w:r w:rsidR="008F374C">
        <w:fldChar w:fldCharType="end"/>
      </w:r>
      <w:r>
        <w:t xml:space="preserve">, they suffer insufficient </w:t>
      </w:r>
      <w:r w:rsidR="000C1062">
        <w:t>activity</w:t>
      </w:r>
      <w:r>
        <w:t xml:space="preserve"> from severe self-poisoning caused by the adsorption of the reaction product acetone</w:t>
      </w:r>
      <w:r w:rsidR="00AE5837">
        <w:t xml:space="preserve"> </w:t>
      </w:r>
      <w:r>
        <w:t>onto the catalyst surface</w:t>
      </w:r>
      <w:r w:rsidR="00AE5837">
        <w:fldChar w:fldCharType="begin"/>
      </w:r>
      <w:r w:rsidR="00AE5837">
        <w:instrText xml:space="preserve"> ADDIN ZOTERO_ITEM CSL_CITATION {"citationID":"lICnPVno","properties":{"unsorted":false,"formattedCitation":"\\super 3\\nosupersub{}","plainCitation":"3","noteIndex":0},"citationItems":[{"id":721,"uris":["http://zotero.org/users/17497864/items/LMZPE8CQ"],"itemData":{"id":721,"type":"article-journal","abstract":"Fuel cells can be operated directly by oxidation of isopropyl alcohol (IPA) to acetone (ACE). If the product ACE is hydrogenated, IPA is formed again. In this way, IPA serves as a rechargeable electrofuel. In this work, we study the oxidation of IPA at Pt electrodes using several complementary experimental methods, including cyclic voltammetry (CV), electrochemical real-time mass spectrometry (EC-RTMS), and electrochemical infrared reflection absorption spectroscopy (EC-IRRAS), in combination with density functional theory (DFT) to assign the vibrational modes of IPA and ACE. Different types of Pt electrodes are investigated, namely single crystalline Pt(111) surfaces, polycrystalline Pt, and nanostructured tubular Pt electrodes. The onset of the IPA oxidation on the Pt electrodes is observed at 0.3 VRHE, yielding ACE with high selectivity. At potentials above 0.9 VRHE, the formation of Pt oxide inhibits the reaction. The only side reaction observed is the formation of small amounts of CO2. We show that adsorbed ACE is formed at the Pt electrodes poisoning the surface. On nanotubular electrodes with high surface area, ACE stays mainly adsorbed on the surface, and only a small fraction desorbs. These observations suggest that poisoning of the Pt electrode by adsorbed ACE limits the oxidation of IPA.","citation-key":"Waidhas_2020_SecondaryAlcoholsRechargeableElectrofuelsElectrooxidationIsopropylAlcoholPtElectrodesa","container-title":"ACS Catalysis","DOI":"10.1021/acscatal.0c00818","issue":"12","journalAbbreviation":"ACS Catal.","page":"6831-6842","publisher":"American Chemical Society","source":"ACS Publications","title":"Secondary Alcohols as Rechargeable Electrofuels: Electrooxidation of Isopropyl Alcohol at Pt Electrodes","title-short":"Secondary Alcohols as Rechargeable Electrofuels","volume":"10","author":[{"family":"Waidhas","given":"Fabian"},{"family":"Haschke","given":"Sandra"},{"family":"Khanipour","given":"Peyman"},{"family":"Fromm","given":"Lukas"},{"family":"Görling","given":"Andreas"},{"family":"Bachmann","given":"Julien"},{"family":"Katsounaros","given":"Ioannis"},{"family":"Mayrhofer","given":"Karl J. J."},{"family":"Brummel","given":"Olaf"},{"family":"Libuda","given":"Jörg"}],"issued":{"date-parts":[["2020",6,19]]}}}],"schema":"https://github.com/citation-style-language/schema/raw/master/csl-citation.json"} </w:instrText>
      </w:r>
      <w:r w:rsidR="00AE5837">
        <w:fldChar w:fldCharType="separate"/>
      </w:r>
      <w:r w:rsidR="00AE5837" w:rsidRPr="00AE5837">
        <w:rPr>
          <w:vertAlign w:val="superscript"/>
        </w:rPr>
        <w:t>3</w:t>
      </w:r>
      <w:r w:rsidR="00AE5837">
        <w:fldChar w:fldCharType="end"/>
      </w:r>
      <w:r w:rsidR="0047676A">
        <w:t xml:space="preserve">, </w:t>
      </w:r>
      <w:r w:rsidR="0047676A" w:rsidRPr="0047676A">
        <w:t>blocking active sites and degrading system performance within minutes.</w:t>
      </w:r>
    </w:p>
    <w:p w14:paraId="37C9A164" w14:textId="77777777" w:rsidR="00352375" w:rsidRDefault="00352375" w:rsidP="00E0716D">
      <w:pPr>
        <w:jc w:val="both"/>
      </w:pPr>
    </w:p>
    <w:p w14:paraId="30E9B9AB" w14:textId="48139D41" w:rsidR="006B2D7C" w:rsidRDefault="00BD7645" w:rsidP="00E0716D">
      <w:pPr>
        <w:jc w:val="both"/>
      </w:pPr>
      <w:r>
        <w:t xml:space="preserve">The addition of a third element to </w:t>
      </w:r>
      <w:proofErr w:type="spellStart"/>
      <w:r>
        <w:t>PtRu</w:t>
      </w:r>
      <w:proofErr w:type="spellEnd"/>
      <w:r>
        <w:t xml:space="preserve"> catalysts could mitigate the self-poisoning observed during IPA oxidation. To investigate this hypothesis, we </w:t>
      </w:r>
      <w:r w:rsidR="00352375" w:rsidRPr="00352375">
        <w:t xml:space="preserve">utilize a scanning-flow-cell (SFC) electrodeposition setup </w:t>
      </w:r>
      <w:r w:rsidR="00352375">
        <w:t xml:space="preserve">for </w:t>
      </w:r>
      <w:r w:rsidR="00A50C5E">
        <w:t>the medium-throughput</w:t>
      </w:r>
      <w:r w:rsidR="00352375">
        <w:t xml:space="preserve"> </w:t>
      </w:r>
      <w:r w:rsidR="00352375" w:rsidRPr="00352375">
        <w:t>synthesi</w:t>
      </w:r>
      <w:r w:rsidR="00352375">
        <w:t>s of</w:t>
      </w:r>
      <w:r w:rsidR="00352375" w:rsidRPr="00352375">
        <w:t xml:space="preserve"> ternary alloy libraries (</w:t>
      </w:r>
      <w:proofErr w:type="spellStart"/>
      <w:r w:rsidR="003330E9">
        <w:t>PtRu</w:t>
      </w:r>
      <w:proofErr w:type="spellEnd"/>
      <w:r w:rsidR="003330E9">
        <w:t xml:space="preserve"> with Au, Sn or Co as the third element</w:t>
      </w:r>
      <w:r w:rsidR="00352375" w:rsidRPr="00352375">
        <w:t xml:space="preserve">). </w:t>
      </w:r>
      <w:r w:rsidR="00A50C5E">
        <w:t>Beyond performance optimization</w:t>
      </w:r>
      <w:r w:rsidR="00352375" w:rsidRPr="00352375">
        <w:t xml:space="preserve">, this approach </w:t>
      </w:r>
      <w:r w:rsidR="00A50C5E">
        <w:t>systematically var</w:t>
      </w:r>
      <w:r w:rsidR="004F5F5D">
        <w:t>ies</w:t>
      </w:r>
      <w:r w:rsidR="00A50C5E">
        <w:t xml:space="preserve"> composition</w:t>
      </w:r>
      <w:r w:rsidR="00352375" w:rsidRPr="00352375">
        <w:t xml:space="preserve"> to </w:t>
      </w:r>
      <w:r w:rsidR="00A50C5E">
        <w:t>uncover</w:t>
      </w:r>
      <w:r w:rsidR="00352375" w:rsidRPr="00352375">
        <w:t xml:space="preserve"> </w:t>
      </w:r>
      <w:r w:rsidR="00A50C5E">
        <w:t>how the addition of a third element modulates catalytic activity, acetone adsorption and surface cleaning strategies. Additional</w:t>
      </w:r>
      <w:r w:rsidR="004F5F5D">
        <w:t>ly</w:t>
      </w:r>
      <w:r w:rsidR="00A50C5E">
        <w:t xml:space="preserve">, the integration of online ICP-MS </w:t>
      </w:r>
      <w:r w:rsidR="004F5F5D">
        <w:t>enables the quantification of</w:t>
      </w:r>
      <w:r w:rsidR="00A50C5E">
        <w:t xml:space="preserve"> metal dissolution to assess catalyst stability.</w:t>
      </w:r>
    </w:p>
    <w:p w14:paraId="270B69A4" w14:textId="77777777" w:rsidR="006B2D7C" w:rsidRDefault="006B2D7C" w:rsidP="00E0716D">
      <w:pPr>
        <w:jc w:val="both"/>
      </w:pPr>
    </w:p>
    <w:p w14:paraId="5EF520B9" w14:textId="3F2354A8" w:rsidR="00352375" w:rsidRDefault="00352375" w:rsidP="00E0716D">
      <w:pPr>
        <w:jc w:val="both"/>
      </w:pPr>
      <w:r w:rsidRPr="00352375">
        <w:t xml:space="preserve">By </w:t>
      </w:r>
      <w:r w:rsidR="004F5F5D">
        <w:t>linking</w:t>
      </w:r>
      <w:r w:rsidRPr="00352375">
        <w:t xml:space="preserve"> composition </w:t>
      </w:r>
      <w:r w:rsidR="004F5F5D">
        <w:t>to</w:t>
      </w:r>
      <w:r w:rsidRPr="00352375">
        <w:t xml:space="preserve"> both performance and mechanistic insights, this work</w:t>
      </w:r>
      <w:r w:rsidR="006B2D7C">
        <w:t xml:space="preserve"> seeks to</w:t>
      </w:r>
      <w:r w:rsidRPr="00352375">
        <w:t xml:space="preserve"> identif</w:t>
      </w:r>
      <w:r w:rsidR="006B2D7C">
        <w:t>y</w:t>
      </w:r>
      <w:r w:rsidRPr="00352375">
        <w:t xml:space="preserve"> robust catalyst </w:t>
      </w:r>
      <w:r w:rsidR="004F5F5D">
        <w:t>compositions</w:t>
      </w:r>
      <w:r w:rsidRPr="00352375">
        <w:t xml:space="preserve"> and clarif</w:t>
      </w:r>
      <w:r w:rsidR="006B2D7C">
        <w:t>y</w:t>
      </w:r>
      <w:r w:rsidRPr="00352375">
        <w:t xml:space="preserve"> the </w:t>
      </w:r>
      <w:r w:rsidR="004F5F5D">
        <w:t>effects of a third element on the IPA oxidation reaction</w:t>
      </w:r>
      <w:r w:rsidRPr="00352375">
        <w:t xml:space="preserve">, </w:t>
      </w:r>
      <w:r w:rsidR="004F5F5D">
        <w:t>enabling a faster deployment of IPA-based seasonal energy storage.</w:t>
      </w:r>
    </w:p>
    <w:p w14:paraId="3E22161D" w14:textId="77777777" w:rsidR="00E96F76" w:rsidRDefault="00E96F76" w:rsidP="00E0716D">
      <w:pPr>
        <w:jc w:val="both"/>
      </w:pPr>
    </w:p>
    <w:p w14:paraId="3928BBEA" w14:textId="77777777" w:rsidR="00427169" w:rsidRDefault="00E96F76" w:rsidP="00427169">
      <w:pPr>
        <w:keepNext/>
        <w:jc w:val="center"/>
      </w:pPr>
      <w:r>
        <w:rPr>
          <w:noProof/>
          <w:snapToGrid/>
        </w:rPr>
        <w:drawing>
          <wp:inline distT="0" distB="0" distL="0" distR="0" wp14:anchorId="4DDC2A21" wp14:editId="674615D1">
            <wp:extent cx="3209857" cy="2256790"/>
            <wp:effectExtent l="0" t="0" r="0" b="0"/>
            <wp:docPr id="14824149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414995" name="Graphic 1482414995"/>
                    <pic:cNvPicPr/>
                  </pic:nvPicPr>
                  <pic:blipFill>
                    <a:blip r:embed="rId5">
                      <a:extLst>
                        <a:ext uri="{96DAC541-7B7A-43D3-8B79-37D633B846F1}">
                          <asvg:svgBlip xmlns:asvg="http://schemas.microsoft.com/office/drawing/2016/SVG/main" r:embed="rId6"/>
                        </a:ext>
                      </a:extLst>
                    </a:blip>
                    <a:stretch>
                      <a:fillRect/>
                    </a:stretch>
                  </pic:blipFill>
                  <pic:spPr>
                    <a:xfrm>
                      <a:off x="0" y="0"/>
                      <a:ext cx="3249476" cy="2284645"/>
                    </a:xfrm>
                    <a:prstGeom prst="rect">
                      <a:avLst/>
                    </a:prstGeom>
                  </pic:spPr>
                </pic:pic>
              </a:graphicData>
            </a:graphic>
          </wp:inline>
        </w:drawing>
      </w:r>
    </w:p>
    <w:p w14:paraId="589CDD81" w14:textId="6F7B7256" w:rsidR="00E96F76" w:rsidRDefault="00427169" w:rsidP="00427169">
      <w:pPr>
        <w:pStyle w:val="Caption"/>
        <w:jc w:val="center"/>
      </w:pPr>
      <w:r>
        <w:t xml:space="preserve">Figure </w:t>
      </w:r>
      <w:fldSimple w:instr=" SEQ Figure \* ARABIC ">
        <w:r>
          <w:rPr>
            <w:noProof/>
          </w:rPr>
          <w:t>1</w:t>
        </w:r>
      </w:fldSimple>
      <w:r>
        <w:t>: Schematic of the SFC electrodeposition setup</w:t>
      </w:r>
    </w:p>
    <w:p w14:paraId="79174606" w14:textId="77777777" w:rsidR="00325004" w:rsidRDefault="00325004" w:rsidP="00E0716D">
      <w:pPr>
        <w:jc w:val="both"/>
      </w:pPr>
    </w:p>
    <w:p w14:paraId="0AAEBC6D" w14:textId="77777777" w:rsidR="00AE5837" w:rsidRPr="00AE5837" w:rsidRDefault="003330E9" w:rsidP="00AE5837">
      <w:pPr>
        <w:pStyle w:val="Bibliography"/>
      </w:pPr>
      <w:r>
        <w:fldChar w:fldCharType="begin"/>
      </w:r>
      <w:r w:rsidR="00AE5837">
        <w:instrText xml:space="preserve"> ADDIN ZOTERO_BIBL {"uncited":[],"omitted":[],"custom":[[["http://zotero.org/users/17497864/items/IQXBQQTV"],"[1]\\tab{}Venus, D.{\\i{} et al.} Advanced Energy Materials {\\b{}2025}, {\\i{}15} (12),\\uc0\\u160{}2403824"],[["http://zotero.org/users/17497864/items/SBJAUHHI"],"[2]\\tab{}Hauenstein {\\i{}et al.} Journal of Power Sources Advances {\\b{}2021}, {\\i{}10}, 100064"],[["http://zotero.org/users/17497864/items/LMZPE8CQ"],"[3]\\tab{}Waidhas, F.\\uc0\\u160{}\\uc0\\u160{}ACS Catal. {\\b{}2020}, {\\i{}10} (12), 6831\\uc0\\u8211{}6842"]]} CSL_BIBLIOGRAPHY </w:instrText>
      </w:r>
      <w:r>
        <w:fldChar w:fldCharType="separate"/>
      </w:r>
      <w:r w:rsidR="00AE5837" w:rsidRPr="00AE5837">
        <w:t>[1]</w:t>
      </w:r>
      <w:r w:rsidR="00AE5837" w:rsidRPr="00AE5837">
        <w:tab/>
        <w:t>Venus, D.</w:t>
      </w:r>
      <w:r w:rsidR="00AE5837" w:rsidRPr="00AE5837">
        <w:rPr>
          <w:i/>
          <w:iCs/>
        </w:rPr>
        <w:t xml:space="preserve"> et al.</w:t>
      </w:r>
      <w:r w:rsidR="00AE5837" w:rsidRPr="00AE5837">
        <w:t xml:space="preserve"> Advanced Energy Materials </w:t>
      </w:r>
      <w:r w:rsidR="00AE5837" w:rsidRPr="00AE5837">
        <w:rPr>
          <w:b/>
          <w:bCs/>
        </w:rPr>
        <w:t>2025</w:t>
      </w:r>
      <w:r w:rsidR="00AE5837" w:rsidRPr="00AE5837">
        <w:t xml:space="preserve">, </w:t>
      </w:r>
      <w:r w:rsidR="00AE5837" w:rsidRPr="00AE5837">
        <w:rPr>
          <w:i/>
          <w:iCs/>
        </w:rPr>
        <w:t>15</w:t>
      </w:r>
      <w:r w:rsidR="00AE5837" w:rsidRPr="00AE5837">
        <w:t xml:space="preserve"> (12), 2403824</w:t>
      </w:r>
    </w:p>
    <w:p w14:paraId="6C7F4590" w14:textId="77777777" w:rsidR="00AE5837" w:rsidRPr="00AE5837" w:rsidRDefault="00AE5837" w:rsidP="00AE5837">
      <w:pPr>
        <w:pStyle w:val="Bibliography"/>
      </w:pPr>
      <w:r w:rsidRPr="00AE5837">
        <w:t>[2]</w:t>
      </w:r>
      <w:r w:rsidRPr="00AE5837">
        <w:tab/>
        <w:t xml:space="preserve">Hauenstein </w:t>
      </w:r>
      <w:r w:rsidRPr="00AE5837">
        <w:rPr>
          <w:i/>
          <w:iCs/>
        </w:rPr>
        <w:t>et al.</w:t>
      </w:r>
      <w:r w:rsidRPr="00AE5837">
        <w:t xml:space="preserve"> Journal of Power Sources Advances </w:t>
      </w:r>
      <w:r w:rsidRPr="00AE5837">
        <w:rPr>
          <w:b/>
          <w:bCs/>
        </w:rPr>
        <w:t>2021</w:t>
      </w:r>
      <w:r w:rsidRPr="00AE5837">
        <w:t xml:space="preserve">, </w:t>
      </w:r>
      <w:r w:rsidRPr="00AE5837">
        <w:rPr>
          <w:i/>
          <w:iCs/>
        </w:rPr>
        <w:t>10</w:t>
      </w:r>
      <w:r w:rsidRPr="00AE5837">
        <w:t>, 100064</w:t>
      </w:r>
    </w:p>
    <w:p w14:paraId="699C8658" w14:textId="1BECAE35" w:rsidR="00AE5837" w:rsidRPr="00AE5837" w:rsidRDefault="00AE5837" w:rsidP="00AE5837">
      <w:pPr>
        <w:pStyle w:val="Bibliography"/>
      </w:pPr>
      <w:r w:rsidRPr="00AE5837">
        <w:t>[3]</w:t>
      </w:r>
      <w:r w:rsidRPr="00AE5837">
        <w:tab/>
        <w:t>Waidhas, F.</w:t>
      </w:r>
      <w:r>
        <w:t xml:space="preserve"> </w:t>
      </w:r>
      <w:r w:rsidRPr="00AE5837">
        <w:rPr>
          <w:i/>
          <w:iCs/>
        </w:rPr>
        <w:t>et al.</w:t>
      </w:r>
      <w:r w:rsidRPr="00AE5837">
        <w:t xml:space="preserve">  ACS Catal. </w:t>
      </w:r>
      <w:r w:rsidRPr="00AE5837">
        <w:rPr>
          <w:b/>
          <w:bCs/>
        </w:rPr>
        <w:t>2020</w:t>
      </w:r>
      <w:r w:rsidRPr="00AE5837">
        <w:t xml:space="preserve">, </w:t>
      </w:r>
      <w:r w:rsidRPr="00AE5837">
        <w:rPr>
          <w:i/>
          <w:iCs/>
        </w:rPr>
        <w:t>10</w:t>
      </w:r>
      <w:r w:rsidRPr="00AE5837">
        <w:t xml:space="preserve"> (12), 6831–6842</w:t>
      </w:r>
    </w:p>
    <w:p w14:paraId="7882A4E7" w14:textId="4717C2DF" w:rsidR="00E0716D" w:rsidRDefault="003330E9" w:rsidP="00E0716D">
      <w:pPr>
        <w:jc w:val="both"/>
      </w:pPr>
      <w:r>
        <w:fldChar w:fldCharType="end"/>
      </w:r>
    </w:p>
    <w:sectPr w:rsidR="00E0716D" w:rsidSect="00FA4004">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C1062"/>
    <w:rsid w:val="001E7A33"/>
    <w:rsid w:val="00325004"/>
    <w:rsid w:val="003330E9"/>
    <w:rsid w:val="00352375"/>
    <w:rsid w:val="003E4C2C"/>
    <w:rsid w:val="00427169"/>
    <w:rsid w:val="00465727"/>
    <w:rsid w:val="0047676A"/>
    <w:rsid w:val="004F5F5D"/>
    <w:rsid w:val="00536366"/>
    <w:rsid w:val="005A4624"/>
    <w:rsid w:val="00685C1A"/>
    <w:rsid w:val="006B2D7C"/>
    <w:rsid w:val="006B3A89"/>
    <w:rsid w:val="0070477C"/>
    <w:rsid w:val="008F374C"/>
    <w:rsid w:val="009171FF"/>
    <w:rsid w:val="009B3D62"/>
    <w:rsid w:val="00A50C5E"/>
    <w:rsid w:val="00AA0C88"/>
    <w:rsid w:val="00AE5837"/>
    <w:rsid w:val="00B60F15"/>
    <w:rsid w:val="00B92305"/>
    <w:rsid w:val="00BD7645"/>
    <w:rsid w:val="00C71DB5"/>
    <w:rsid w:val="00CE10C7"/>
    <w:rsid w:val="00D00F4F"/>
    <w:rsid w:val="00D07B41"/>
    <w:rsid w:val="00D13F27"/>
    <w:rsid w:val="00E0716D"/>
    <w:rsid w:val="00E96F76"/>
    <w:rsid w:val="00EA1630"/>
    <w:rsid w:val="00EB714D"/>
    <w:rsid w:val="00F4149D"/>
    <w:rsid w:val="00F97641"/>
    <w:rsid w:val="00FA4004"/>
    <w:rsid w:val="00FE7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E1F1DD"/>
  <w14:defaultImageDpi w14:val="300"/>
  <w15:docId w15:val="{1DB7DE1B-42F9-4F8A-BD2E-8F0FC4F3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E4C2C"/>
    <w:rPr>
      <w:color w:val="0000FF" w:themeColor="hyperlink"/>
      <w:u w:val="single"/>
    </w:rPr>
  </w:style>
  <w:style w:type="character" w:styleId="UnresolvedMention">
    <w:name w:val="Unresolved Mention"/>
    <w:basedOn w:val="DefaultParagraphFont"/>
    <w:uiPriority w:val="99"/>
    <w:semiHidden/>
    <w:unhideWhenUsed/>
    <w:rsid w:val="003E4C2C"/>
    <w:rPr>
      <w:color w:val="605E5C"/>
      <w:shd w:val="clear" w:color="auto" w:fill="E1DFDD"/>
    </w:rPr>
  </w:style>
  <w:style w:type="paragraph" w:styleId="Bibliography">
    <w:name w:val="Bibliography"/>
    <w:basedOn w:val="Normal"/>
    <w:next w:val="Normal"/>
    <w:uiPriority w:val="37"/>
    <w:unhideWhenUsed/>
    <w:rsid w:val="003330E9"/>
  </w:style>
  <w:style w:type="paragraph" w:styleId="Caption">
    <w:name w:val="caption"/>
    <w:basedOn w:val="Normal"/>
    <w:next w:val="Normal"/>
    <w:uiPriority w:val="35"/>
    <w:unhideWhenUsed/>
    <w:qFormat/>
    <w:rsid w:val="00427169"/>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D07B41"/>
    <w:rPr>
      <w:sz w:val="16"/>
      <w:szCs w:val="16"/>
    </w:rPr>
  </w:style>
  <w:style w:type="paragraph" w:styleId="CommentText">
    <w:name w:val="annotation text"/>
    <w:basedOn w:val="Normal"/>
    <w:link w:val="CommentTextChar"/>
    <w:uiPriority w:val="99"/>
    <w:unhideWhenUsed/>
    <w:rsid w:val="00D07B41"/>
  </w:style>
  <w:style w:type="character" w:customStyle="1" w:styleId="CommentTextChar">
    <w:name w:val="Comment Text Char"/>
    <w:basedOn w:val="DefaultParagraphFont"/>
    <w:link w:val="CommentText"/>
    <w:uiPriority w:val="99"/>
    <w:rsid w:val="00D07B41"/>
    <w:rPr>
      <w:snapToGrid w:val="0"/>
    </w:rPr>
  </w:style>
  <w:style w:type="paragraph" w:styleId="CommentSubject">
    <w:name w:val="annotation subject"/>
    <w:basedOn w:val="CommentText"/>
    <w:next w:val="CommentText"/>
    <w:link w:val="CommentSubjectChar"/>
    <w:uiPriority w:val="99"/>
    <w:semiHidden/>
    <w:unhideWhenUsed/>
    <w:rsid w:val="00D07B41"/>
    <w:rPr>
      <w:b/>
      <w:bCs/>
    </w:rPr>
  </w:style>
  <w:style w:type="character" w:customStyle="1" w:styleId="CommentSubjectChar">
    <w:name w:val="Comment Subject Char"/>
    <w:basedOn w:val="CommentTextChar"/>
    <w:link w:val="CommentSubject"/>
    <w:uiPriority w:val="99"/>
    <w:semiHidden/>
    <w:rsid w:val="00D07B41"/>
    <w:rPr>
      <w:b/>
      <w:bCs/>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9EF65-2448-4DEA-A101-6C5A34C423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1600</Words>
  <Characters>9123</Characters>
  <Application>Microsoft Office Word</Application>
  <DocSecurity>0</DocSecurity>
  <Lines>76</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Heß, Anna-Lena</cp:lastModifiedBy>
  <cp:revision>3</cp:revision>
  <cp:lastPrinted>2013-10-21T12:07:00Z</cp:lastPrinted>
  <dcterms:created xsi:type="dcterms:W3CDTF">2026-05-19T14:53:00Z</dcterms:created>
  <dcterms:modified xsi:type="dcterms:W3CDTF">2026-05-19T15:18:00Z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zotero-version="9.0.3"&gt;&lt;session id="o6owpZ1S"/&gt;&lt;style id="http://www.zotero.org/styles/american-chemical-society" hasBibliography="1" bibliographyStyleHasBeenSet="1"/&gt;&lt;prefs&gt;&lt;pref name="fieldType" value="Field"/&gt;&lt;/prefs&gt;&lt;/data&gt;</vt:lpwstr>
  </property>
</Properties>
</file>