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4A719" w14:textId="66398259" w:rsidR="00E67F4E" w:rsidRDefault="00E67F4E" w:rsidP="00DBB6F1">
      <w:pPr>
        <w:spacing w:line="259" w:lineRule="auto"/>
        <w:jc w:val="center"/>
      </w:pPr>
      <w:r w:rsidRPr="00DBB6F1">
        <w:rPr>
          <w:b/>
          <w:bCs/>
          <w:sz w:val="28"/>
          <w:szCs w:val="28"/>
        </w:rPr>
        <w:t>Single-chirality</w:t>
      </w:r>
      <w:r w:rsidR="007D3546">
        <w:rPr>
          <w:b/>
          <w:bCs/>
          <w:sz w:val="28"/>
          <w:szCs w:val="28"/>
        </w:rPr>
        <w:t xml:space="preserve"> single-walled</w:t>
      </w:r>
      <w:r w:rsidRPr="00DBB6F1">
        <w:rPr>
          <w:b/>
          <w:bCs/>
          <w:sz w:val="28"/>
          <w:szCs w:val="28"/>
        </w:rPr>
        <w:t xml:space="preserve"> carbon nanotubes for</w:t>
      </w:r>
      <w:r w:rsidR="007D3546">
        <w:rPr>
          <w:b/>
          <w:bCs/>
          <w:sz w:val="28"/>
          <w:szCs w:val="28"/>
        </w:rPr>
        <w:t xml:space="preserve"> electrochemical</w:t>
      </w:r>
      <w:r w:rsidRPr="00DBB6F1">
        <w:rPr>
          <w:b/>
          <w:bCs/>
          <w:sz w:val="28"/>
          <w:szCs w:val="28"/>
        </w:rPr>
        <w:t xml:space="preserve"> co-detection of </w:t>
      </w:r>
      <w:r w:rsidR="00F50280">
        <w:rPr>
          <w:b/>
          <w:bCs/>
          <w:sz w:val="28"/>
          <w:szCs w:val="28"/>
        </w:rPr>
        <w:t>serotonin and dopamine</w:t>
      </w:r>
    </w:p>
    <w:p w14:paraId="672A6659" w14:textId="77777777" w:rsidR="00325004" w:rsidRPr="00A86EB9" w:rsidRDefault="00325004" w:rsidP="00E0716D">
      <w:pPr>
        <w:jc w:val="center"/>
        <w:rPr>
          <w:b/>
          <w:sz w:val="28"/>
        </w:rPr>
      </w:pPr>
    </w:p>
    <w:p w14:paraId="6772A4E6" w14:textId="372FBBAC" w:rsidR="00325004" w:rsidRPr="00CC3835" w:rsidRDefault="00E67F4E" w:rsidP="00DBB6F1">
      <w:pPr>
        <w:spacing w:line="259" w:lineRule="auto"/>
        <w:jc w:val="center"/>
        <w:rPr>
          <w:lang w:val="fi-FI"/>
        </w:rPr>
      </w:pPr>
      <w:r w:rsidRPr="00CC3835">
        <w:rPr>
          <w:u w:val="single"/>
          <w:lang w:val="fi-FI"/>
        </w:rPr>
        <w:t>Salli Valkama</w:t>
      </w:r>
      <w:r w:rsidR="3FB0463B" w:rsidRPr="00CC3835">
        <w:rPr>
          <w:lang w:val="fi-FI"/>
        </w:rPr>
        <w:t xml:space="preserve">, </w:t>
      </w:r>
      <w:proofErr w:type="spellStart"/>
      <w:r w:rsidR="71B992B1" w:rsidRPr="00CC3835">
        <w:rPr>
          <w:lang w:val="fi-FI"/>
        </w:rPr>
        <w:t>Juyeon</w:t>
      </w:r>
      <w:proofErr w:type="spellEnd"/>
      <w:r w:rsidR="71B992B1" w:rsidRPr="00CC3835">
        <w:rPr>
          <w:lang w:val="fi-FI"/>
        </w:rPr>
        <w:t xml:space="preserve"> Seo, Bahar Mostafi</w:t>
      </w:r>
      <w:r w:rsidR="000D2916">
        <w:rPr>
          <w:lang w:val="fi-FI"/>
        </w:rPr>
        <w:t>z</w:t>
      </w:r>
      <w:r w:rsidR="71B992B1" w:rsidRPr="00CC3835">
        <w:rPr>
          <w:lang w:val="fi-FI"/>
        </w:rPr>
        <w:t>, Naela Delmo, Han Li, Emilia Peltola</w:t>
      </w:r>
    </w:p>
    <w:p w14:paraId="1DD9BEB8" w14:textId="0AB087F6" w:rsidR="5B53516C" w:rsidRDefault="5B53516C" w:rsidP="00DBB6F1">
      <w:pPr>
        <w:spacing w:line="259" w:lineRule="auto"/>
        <w:jc w:val="center"/>
      </w:pPr>
      <w:r w:rsidRPr="00DBB6F1">
        <w:rPr>
          <w:i/>
          <w:iCs/>
        </w:rPr>
        <w:t>Materials engineering, University of Turku</w:t>
      </w:r>
    </w:p>
    <w:p w14:paraId="47D2A083" w14:textId="274CF971" w:rsidR="00325004" w:rsidRDefault="5B53516C" w:rsidP="00DBB6F1">
      <w:pPr>
        <w:jc w:val="center"/>
        <w:rPr>
          <w:i/>
          <w:iCs/>
        </w:rPr>
      </w:pPr>
      <w:proofErr w:type="spellStart"/>
      <w:r w:rsidRPr="00DBB6F1">
        <w:rPr>
          <w:i/>
          <w:iCs/>
        </w:rPr>
        <w:t>Vesilinnantie</w:t>
      </w:r>
      <w:proofErr w:type="spellEnd"/>
      <w:r w:rsidRPr="00DBB6F1">
        <w:rPr>
          <w:i/>
          <w:iCs/>
        </w:rPr>
        <w:t xml:space="preserve"> 5, 20014 Turku</w:t>
      </w:r>
    </w:p>
    <w:p w14:paraId="0A37501D" w14:textId="50C44F39" w:rsidR="00325004" w:rsidRDefault="5B53516C" w:rsidP="00CC3835">
      <w:pPr>
        <w:spacing w:line="259" w:lineRule="auto"/>
        <w:jc w:val="center"/>
      </w:pPr>
      <w:r w:rsidRPr="00DBB6F1">
        <w:rPr>
          <w:i/>
          <w:iCs/>
        </w:rPr>
        <w:t>sasval@utu.fi</w:t>
      </w:r>
    </w:p>
    <w:p w14:paraId="06FB9563" w14:textId="01E2CD7B" w:rsidR="17D4F6EB" w:rsidRDefault="00D66D49" w:rsidP="00B8524A">
      <w:pPr>
        <w:ind w:left="709"/>
        <w:jc w:val="center"/>
      </w:pPr>
      <w:r>
        <w:rPr>
          <w:noProof/>
          <w:snapToGrid/>
        </w:rPr>
        <w:drawing>
          <wp:inline distT="0" distB="0" distL="0" distR="0" wp14:anchorId="74F18E6B" wp14:editId="097ADC48">
            <wp:extent cx="4476750" cy="199922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536" t="2929" b="1227"/>
                    <a:stretch/>
                  </pic:blipFill>
                  <pic:spPr bwMode="auto">
                    <a:xfrm>
                      <a:off x="0" y="0"/>
                      <a:ext cx="4527970" cy="2022101"/>
                    </a:xfrm>
                    <a:prstGeom prst="rect">
                      <a:avLst/>
                    </a:prstGeom>
                    <a:ln>
                      <a:noFill/>
                    </a:ln>
                    <a:extLst>
                      <a:ext uri="{53640926-AAD7-44D8-BBD7-CCE9431645EC}">
                        <a14:shadowObscured xmlns:a14="http://schemas.microsoft.com/office/drawing/2010/main"/>
                      </a:ext>
                    </a:extLst>
                  </pic:spPr>
                </pic:pic>
              </a:graphicData>
            </a:graphic>
          </wp:inline>
        </w:drawing>
      </w:r>
    </w:p>
    <w:p w14:paraId="32C0448B" w14:textId="28133E5B" w:rsidR="00D56E7D" w:rsidRDefault="5BEECA7E" w:rsidP="00EE22D9">
      <w:pPr>
        <w:ind w:left="709"/>
        <w:jc w:val="both"/>
      </w:pPr>
      <w:r w:rsidRPr="00DBB6F1">
        <w:t xml:space="preserve">Dopamine (DA) and serotonin (5-HT) are closely interacting neurotransmitters whose dysregulation is linked to neurodegenerative diseases, </w:t>
      </w:r>
      <w:r w:rsidR="00AF158F">
        <w:t>such as</w:t>
      </w:r>
      <w:r w:rsidRPr="00DBB6F1">
        <w:t xml:space="preserve"> Parkinson’s and Alzheimer’s disease</w:t>
      </w:r>
      <w:r w:rsidR="00365A98">
        <w:t xml:space="preserve"> </w:t>
      </w:r>
      <w:r w:rsidR="005979A4">
        <w:fldChar w:fldCharType="begin"/>
      </w:r>
      <w:r w:rsidR="0032200E">
        <w:instrText xml:space="preserve"> ADDIN ZOTERO_ITEM CSL_CITATION {"citationID":"n3MFFCTH","properties":{"unsorted":false,"formattedCitation":"[1]","plainCitation":"[1]","noteIndex":0},"citationItems":[{"id":3147,"uris":["http://zotero.org/users/11639861/items/L3DVPZZ7"],"itemData":{"id":3147,"type":"article-journal","abstract":"Cognitive dysfunction is one of the most typical characteristics in various neurodegenerative diseases such as Alzheimer's disease and Parkinson's disease (advanced stage). Although several mechanisms like neuronal apoptosis and inflammatory responses have been recognized to be involved in the pathogenesis of cognitive dysfunction in these diseases, recent studies on neurodegeneration and cognitive dysfunction have demonstrated a significant impact of receptor modulation on cognitive changes. The pathological alterations in various receptors appear to contribute to cognitive impairment and/or deterioration with correlation to diversified mechanisms. This article recapitulates the present understandings and concepts underlying the modulation of different receptors in human beings and various experimental models of Alzheimer's disease and Parkinson's disease as well as a conceptual update on the underlying mechanisms. Specific roles of serotonin, adrenaline, acetylcholine, dopamine receptors, and N-methyl-d-aspartate receptors in Alzheimer's disease and Parkinson's disease will be interactively discussed. Complex mechanisms involved in their signaling pathways in the cognitive dysfunction associated with the neurodegenerative diseases will also be addressed. Substantial evidence has suggested that those receptors are crucial neuroregulators contributing to cognitive pathology and complicated correlations exist between those receptors and the expression of cognitive capacities. The pathological alterations in the receptors would, therefore, contribute to cognitive impairments and/or deterioration in Alzheimer's disease and Parkinson's disease. Future research may shed light on new clues for the treatment of cognitive dysfunction in neurodegenerative diseases by targeting specific alterations in these receptors and their signal transduction pathways in the frontal–striatal, fronto–striato–thalamic, and mesolimbic circuitries.","container-title":"Progress in Neurobiology","DOI":"https://doi.org/10.1016/j.pneurobio.2012.02.002","ISSN":"0301-0082","issue":"1","journalAbbreviation":"Prog Neurobiol","page":"1-13","title":"Neurotransmitter receptors and cognitive dysfunction in Alzheimer's disease and Parkinson's disease","volume":"97","author":[{"family":"Xu","given":"Yunqi"},{"family":"Yan","given":"Junqiang"},{"family":"Zhou","given":"Peng"},{"family":"Li","given":"Jiejie"},{"family":"Gao","given":"Huimin"},{"family":"Xia","given":"Ying"},{"family":"Wang","given":"Qing"}],"issued":{"date-parts":[["2012"]]}}}],"schema":"https://github.com/citation-style-language/schema/raw/master/csl-citation.json"} </w:instrText>
      </w:r>
      <w:r w:rsidR="005979A4">
        <w:fldChar w:fldCharType="separate"/>
      </w:r>
      <w:r w:rsidR="0032200E" w:rsidRPr="0032200E">
        <w:t>[1]</w:t>
      </w:r>
      <w:r w:rsidR="005979A4">
        <w:fldChar w:fldCharType="end"/>
      </w:r>
      <w:r w:rsidRPr="00DBB6F1">
        <w:t xml:space="preserve">. Reliable, real-time detection of these analytes is therefore essential for advancing neurochemical research. Electrochemical sensing offers a promising approach due to its sensitivity, low cost, and rapid </w:t>
      </w:r>
      <w:r w:rsidR="6E2E0ECC" w:rsidRPr="00DBB6F1">
        <w:t>measurement</w:t>
      </w:r>
      <w:r w:rsidR="00ED4377">
        <w:t xml:space="preserve"> </w:t>
      </w:r>
      <w:r w:rsidR="00ED4377">
        <w:fldChar w:fldCharType="begin"/>
      </w:r>
      <w:r w:rsidR="0032200E">
        <w:instrText xml:space="preserve"> ADDIN ZOTERO_ITEM CSL_CITATION {"citationID":"ntmxDocD","properties":{"unsorted":false,"formattedCitation":"[2]","plainCitation":"[2]","noteIndex":0},"citationItems":[{"id":2058,"uris":["http://zotero.org/users/11639861/items/KVBYSFPT"],"itemData":{"id":2058,"type":"article-journal","abstract":"Measurements inside the human body are complicated.\n          , \n            \n              Measurements inside the human body are complicated. Here, we provide a short introduction of the main requirements for the successful\n              in vivo\n              determination of dopamine concentrations, together with a discussion of how the type of the measurements, short-term\n              vs.\n              long-term and dynamic\n              vs.\n              basal measurements, affects what is expected from the sensor material. Next, we provide a step-by-step guide for characterising electrode performance and performing\n              in vivo\n              measurements with practical tips. Finally, we discuss the typical approaches for overcoming the challenges set by the environment.","container-title":"Sensors &amp; Diagnostics","DOI":"10.1039/D2SD00230B","ISSN":"2635-0998","issue":"3","journalAbbreviation":"Sens. Diagn.","language":"en","page":"559-581","source":"DOI.org (Crossref)","title":"Developing an electrochemical sensor for the &lt;i&gt;in vivo&lt;/i&gt; measurements of dopamine","volume":"2","author":[{"family":"Delmo","given":"Naela"},{"family":"Mostafiz","given":"Bahar"},{"family":"Ross","given":"Ashley E."},{"family":"Suni","given":"Johanna"},{"family":"Peltola","given":"Emilia"}],"issued":{"date-parts":[["2023"]]}}}],"schema":"https://github.com/citation-style-language/schema/raw/master/csl-citation.json"} </w:instrText>
      </w:r>
      <w:r w:rsidR="00ED4377">
        <w:fldChar w:fldCharType="separate"/>
      </w:r>
      <w:r w:rsidR="0032200E" w:rsidRPr="0032200E">
        <w:t>[2]</w:t>
      </w:r>
      <w:r w:rsidR="00ED4377">
        <w:fldChar w:fldCharType="end"/>
      </w:r>
      <w:r w:rsidRPr="00DBB6F1">
        <w:t xml:space="preserve">. However, the similar </w:t>
      </w:r>
      <w:r w:rsidR="24BEF7B4" w:rsidRPr="00DBB6F1">
        <w:t>chemical structure</w:t>
      </w:r>
      <w:r w:rsidRPr="00DBB6F1">
        <w:t xml:space="preserve"> of DA and 5-HT results in overlapping oxidation potentials</w:t>
      </w:r>
      <w:r w:rsidR="003F13C9">
        <w:t xml:space="preserve"> </w:t>
      </w:r>
      <w:r w:rsidR="003F13C9">
        <w:fldChar w:fldCharType="begin"/>
      </w:r>
      <w:r w:rsidR="0032200E">
        <w:instrText xml:space="preserve"> ADDIN ZOTERO_ITEM CSL_CITATION {"citationID":"RHSgUu98","properties":{"unsorted":false,"formattedCitation":"[2]","plainCitation":"[2]","noteIndex":0},"citationItems":[{"id":2058,"uris":["http://zotero.org/users/11639861/items/KVBYSFPT"],"itemData":{"id":2058,"type":"article-journal","abstract":"Measurements inside the human body are complicated.\n          , \n            \n              Measurements inside the human body are complicated. Here, we provide a short introduction of the main requirements for the successful\n              in vivo\n              determination of dopamine concentrations, together with a discussion of how the type of the measurements, short-term\n              vs.\n              long-term and dynamic\n              vs.\n              basal measurements, affects what is expected from the sensor material. Next, we provide a step-by-step guide for characterising electrode performance and performing\n              in vivo\n              measurements with practical tips. Finally, we discuss the typical approaches for overcoming the challenges set by the environment.","container-title":"Sensors &amp; Diagnostics","DOI":"10.1039/D2SD00230B","ISSN":"2635-0998","issue":"3","journalAbbreviation":"Sens. Diagn.","language":"en","page":"559-581","source":"DOI.org (Crossref)","title":"Developing an electrochemical sensor for the &lt;i&gt;in vivo&lt;/i&gt; measurements of dopamine","volume":"2","author":[{"family":"Delmo","given":"Naela"},{"family":"Mostafiz","given":"Bahar"},{"family":"Ross","given":"Ashley E."},{"family":"Suni","given":"Johanna"},{"family":"Peltola","given":"Emilia"}],"issued":{"date-parts":[["2023"]]}}}],"schema":"https://github.com/citation-style-language/schema/raw/master/csl-citation.json"} </w:instrText>
      </w:r>
      <w:r w:rsidR="003F13C9">
        <w:fldChar w:fldCharType="separate"/>
      </w:r>
      <w:r w:rsidR="0032200E" w:rsidRPr="0032200E">
        <w:t>[2]</w:t>
      </w:r>
      <w:r w:rsidR="003F13C9">
        <w:fldChar w:fldCharType="end"/>
      </w:r>
      <w:r w:rsidRPr="00DBB6F1">
        <w:t>, complicating their simultaneous detection.</w:t>
      </w:r>
      <w:r w:rsidR="00E57F7F">
        <w:t xml:space="preserve"> </w:t>
      </w:r>
      <w:r w:rsidRPr="00DBB6F1">
        <w:t xml:space="preserve">This work </w:t>
      </w:r>
      <w:r w:rsidR="008774C9">
        <w:t xml:space="preserve">builds on </w:t>
      </w:r>
      <w:r w:rsidR="006C6537">
        <w:t>a previous study</w:t>
      </w:r>
      <w:r w:rsidR="00BA12EF">
        <w:t xml:space="preserve"> from our research group by </w:t>
      </w:r>
      <w:r w:rsidRPr="00DBB6F1">
        <w:t>explor</w:t>
      </w:r>
      <w:r w:rsidR="00BA12EF">
        <w:t>ing</w:t>
      </w:r>
      <w:r w:rsidRPr="00DBB6F1">
        <w:t xml:space="preserve"> the role of single-walled carbon nanotube (SWCNT) chirality in improving the electrochemical co-detection of DA and 5-HT</w:t>
      </w:r>
      <w:r w:rsidR="00C2063A">
        <w:t xml:space="preserve"> </w:t>
      </w:r>
      <w:r w:rsidR="00C2063A">
        <w:fldChar w:fldCharType="begin"/>
      </w:r>
      <w:r w:rsidR="0032200E">
        <w:instrText xml:space="preserve"> ADDIN ZOTERO_ITEM CSL_CITATION {"citationID":"7Rn4q2OR","properties":{"unsorted":false,"formattedCitation":"[3]","plainCitation":"[3]","noteIndex":0},"citationItems":[{"id":2056,"uris":["http://zotero.org/users/11639861/items/D6UV88X2"],"itemData":{"id":2056,"type":"article-journal","abstract":"(6,5) SWCNTs exhibited an adsorption-controlled process, while (6,6) SWCNTs demonstrated a diffusion-controlled process.\n          , \n            Single-wall carbon nanotubes (SWCNTs) exhibit versatile optoelectronic properties closely linked to their structural characteristics, such as chiral angles and diameters. Given this, they are promising materials for biosensors. However, in studies investigating SWCNT-based electrochemical biosensors, raw soot has been mostly used. Soot typically contains a mixture of different chiralities, metallic compounds, and various impurities from the synthesis process. As a result, this mixture significantly limits the reproducibility and precision of SWCNT-based sensors. To ensure consistent sensor performance, we employed an aqueous two-phase extraction (ATPE) technique to purify and sort single-chirality SWCNTs—specifically, semiconducting (6,5) SWCNTs and metallic (6,6) SWCNTs. In addition, we used multiple fabrication methods to ensure that only pure-chirality SWCNTs were deposited onto the electrodes. Our findings emphasise the importance of using surfactant-free systems when investigating the influence of chirality on the electrochemical behaviour of SWCNTs. By using monochiral SWCNTs, we achieved precise control over their concentration and density, allowing us to assess their electrochemical properties accurately. Our results reveal that the adsorption-controlled process of the inner sphere redox probe occurs on (6,5) SWCNTs, while a diffusion-controlled process is observed on (6,6) SWCNTs. These findings provide valuable insights that will enhance the performance of SWCNT-based electrochemical biosensors.","container-title":"Physical Chemistry Chemical Physics","DOI":"10.1039/D4CP04206A","ISSN":"1463-9076, 1463-9084","issue":"9","journalAbbreviation":"Phys. Chem. Chem. Phys.","language":"en","page":"4959-4967","source":"DOI.org (Crossref)","title":"Single-chirality single-wall carbon nanotubes for electrochemical biosensing","volume":"27","author":[{"family":"Seo","given":"Ju-Yeon"},{"family":"Mostafiz","given":"Bahar"},{"family":"Tu","given":"Xiaomin"},{"family":"Khripin","given":"Constantine Y."},{"family":"Zheng","given":"Ming"},{"family":"Li","given":"Han"},{"family":"Peltola","given":"Emilia"}],"issued":{"date-parts":[["2025"]]}}}],"schema":"https://github.com/citation-style-language/schema/raw/master/csl-citation.json"} </w:instrText>
      </w:r>
      <w:r w:rsidR="00C2063A">
        <w:fldChar w:fldCharType="separate"/>
      </w:r>
      <w:r w:rsidR="0032200E" w:rsidRPr="0032200E">
        <w:t>[3]</w:t>
      </w:r>
      <w:r w:rsidR="00C2063A">
        <w:fldChar w:fldCharType="end"/>
      </w:r>
      <w:r w:rsidRPr="00DBB6F1">
        <w:t xml:space="preserve">. While SWCNTs are widely used in sensing applications, the impact of chirality is often overlooked, with most studies relying on mixed-chirality materials that may limit reproducibility and </w:t>
      </w:r>
      <w:r w:rsidR="00280F33">
        <w:t>accuracy</w:t>
      </w:r>
      <w:r w:rsidR="0003405B">
        <w:t xml:space="preserve"> </w:t>
      </w:r>
      <w:r w:rsidR="00FC3E5D">
        <w:fldChar w:fldCharType="begin"/>
      </w:r>
      <w:r w:rsidR="0032200E">
        <w:instrText xml:space="preserve"> ADDIN ZOTERO_ITEM CSL_CITATION {"citationID":"oKc9SKv2","properties":{"unsorted":false,"formattedCitation":"[4,5]","plainCitation":"[4,5]","noteIndex":0},"citationItems":[{"id":2773,"uris":["http://zotero.org/users/11639861/items/3W5VL4C2"],"itemData":{"id":2773,"type":"article-journal","abstract":"In the last three decades, a lot of scientific research has been carried out in the field of Carbon nanomaterials all over the world due to their significant electronic, optical, mechanical, chemical and thermal properties. The zero, one, two and three dimensional Carbon nanomaterials (i.e. fullerenes, Carbon nanotubes, Graphene, Carbon quantum dots, Carbon Nanohorns, Nanodiamonds, Carbon Nanofibres and Carbon black) have exhibited such inherent features that can be easily exploited in the development of advanced technology for sensing applications. The employment of nanomaterials within sensors has paved new way and opportunities for the detection of analytes or target molecules. Carbon nanomaterials based electrochemical biosensors have reported biocompatibility, better sensitivity, better selectivity and lower limits of detection to detect a wide range of chemical to biological molecules. In this paper, a comprehensive review has been made to cover recent developments in the field of Carbon based nanomaterials as electrochemical biosensors. The characteristic features of a variety of nanomaterials like fullerenes, Carbon nanotubes, Graphene, Carbon quantum dots, Carbon Nanohorns, Carbon Nanodiamonds, Carbon Nanofibres, Carbon black etc. have been discussed along with their synthesis methods. The recent application of all these nanomaterials as electrochemical biosensors for the detection of various biomolecules have been highlighted; the future prospects and possibilities in this field have been outlined.","container-title":"Journal of The Electrochemical Society","DOI":"10.1149/1945-7111/ab6bc4","ISSN":"0013-4651, 1945-7111","issue":"3","journalAbbreviation":"J. Electrochem. Soc.","language":"en","page":"037555","source":"DOI.org (Crossref)","title":"Review—Recent Advances in Carbon Nanomaterials as Electrochemical Biosensors","volume":"167","author":[{"family":"Kour","given":"Ravinder"},{"family":"Arya","given":"Sandeep"},{"family":"Young","given":"Sheng-Joue"},{"family":"Gupta","given":"Vinay"},{"family":"Bandhoria","given":"Pankaj"},{"family":"Khosla","given":"Ajit"}],"issued":{"date-parts":[["2020",2,1]]}}},{"id":2809,"uris":["http://zotero.org/users/11639861/items/GWMFX3FE"],"itemData":{"id":2809,"type":"article-journal","abstract":"This review focuses on recent advances in the application of carbon nanotubes (CNTs) for the development of sensors and biosensors. The paper discusses various conﬁgurations of these devices, including their integration in analytical devices. Carbon nanotube-based sensors have been developed for a broad range of applications including electrochemical sensors for food safety, optical sensors for heavy metal detection, and ﬁeld-effect devices for virus detection. However, as yet there are only a few examples of carbon nanotube-based sensors that have reached the marketplace. Challenges still hamper the real-world application of carbon nanotube-based sensors, primarily, the integration of carbon nanotube sensing elements into analytical devices and fabrication on an industrial scale.","container-title":"Biosensors","DOI":"10.3390/bios11120486","ISSN":"2079-6374","issue":"12","journalAbbreviation":"Biosensors","language":"en","license":"https://creativecommons.org/licenses/by/4.0/","page":"486","source":"DOI.org (Crossref)","title":"Carbon Nanotube (CNT)-Based Biosensors","volume":"11","author":[{"family":"Ferrier","given":"David C."},{"family":"Honeychurch","given":"Kevin C."}],"issued":{"date-parts":[["2021",11,29]]}}}],"schema":"https://github.com/citation-style-language/schema/raw/master/csl-citation.json"} </w:instrText>
      </w:r>
      <w:r w:rsidR="00FC3E5D">
        <w:fldChar w:fldCharType="separate"/>
      </w:r>
      <w:r w:rsidR="0032200E" w:rsidRPr="0032200E">
        <w:t>[4,5]</w:t>
      </w:r>
      <w:r w:rsidR="00FC3E5D">
        <w:fldChar w:fldCharType="end"/>
      </w:r>
      <w:r w:rsidRPr="00DBB6F1">
        <w:t>.</w:t>
      </w:r>
      <w:r w:rsidR="008B394D">
        <w:t xml:space="preserve"> </w:t>
      </w:r>
      <w:r w:rsidRPr="00DBB6F1">
        <w:t>Electrodes were fabricated by depositing thin films of semiconducting (6,5)-SWCNTs and m</w:t>
      </w:r>
      <w:r w:rsidR="5E6CD1F4" w:rsidRPr="00DBB6F1">
        <w:t>ixed chirality</w:t>
      </w:r>
      <w:r w:rsidR="00B86DA7">
        <w:t>-</w:t>
      </w:r>
      <w:r w:rsidR="5E6CD1F4" w:rsidRPr="00DBB6F1">
        <w:t>SWCNTs</w:t>
      </w:r>
      <w:r w:rsidRPr="00DBB6F1">
        <w:t xml:space="preserve"> onto screen-printed carbon electrodes (SPCEs). Surface morphology was characterized using scanning electron microscopy (SEM), and sensing performance was evaluated using differential pulse voltammetry (DPV).</w:t>
      </w:r>
      <w:r w:rsidR="008B394D">
        <w:t xml:space="preserve"> </w:t>
      </w:r>
      <w:r w:rsidRPr="00DBB6F1">
        <w:t>The results demonstrate that SWCNT chirality significantly influences sensor performance. The (6,5)-SWCNT-modified electrodes showed improved peak separation and sensitivity compared to both unmodified SPCE and</w:t>
      </w:r>
      <w:r w:rsidR="00EA2134">
        <w:t xml:space="preserve"> mixed</w:t>
      </w:r>
      <w:r w:rsidR="00F9211A">
        <w:t xml:space="preserve"> chirality</w:t>
      </w:r>
      <w:r w:rsidRPr="00DBB6F1">
        <w:t>-SWCNT</w:t>
      </w:r>
      <w:r w:rsidR="00032F0D">
        <w:t>/SPCE</w:t>
      </w:r>
      <w:r w:rsidRPr="00DBB6F1">
        <w:t xml:space="preserve">. Notably, effective co-detection of DA and 5-HT was achieved even </w:t>
      </w:r>
      <w:r w:rsidR="00AE05A4">
        <w:t xml:space="preserve">when </w:t>
      </w:r>
      <w:r w:rsidR="00EA2134">
        <w:t xml:space="preserve">the </w:t>
      </w:r>
      <w:r w:rsidR="00AE05A4">
        <w:t xml:space="preserve">other neurotransmitter was </w:t>
      </w:r>
      <w:r w:rsidR="00132E1D">
        <w:t>present in excess</w:t>
      </w:r>
      <w:r w:rsidRPr="00DBB6F1">
        <w:t>.</w:t>
      </w:r>
      <w:r w:rsidR="008B394D">
        <w:t xml:space="preserve"> </w:t>
      </w:r>
      <w:r w:rsidRPr="00DBB6F1">
        <w:t>These findings highlight the importance of chirality-controlled SWCNTs in enhancing electrochemical sensor performance and provide a pathway toward more selective and reproducible platforms for neurotransmitter detection.</w:t>
      </w:r>
    </w:p>
    <w:p w14:paraId="3CE2B469" w14:textId="77777777" w:rsidR="001D25C5" w:rsidRDefault="001D25C5" w:rsidP="00EE22D9">
      <w:pPr>
        <w:ind w:left="709"/>
        <w:jc w:val="both"/>
      </w:pPr>
    </w:p>
    <w:p w14:paraId="4E3D965E" w14:textId="7FA594B2" w:rsidR="00A10100" w:rsidRPr="00A10100" w:rsidRDefault="00A10100" w:rsidP="00A10100">
      <w:pPr>
        <w:ind w:left="709"/>
        <w:jc w:val="both"/>
      </w:pPr>
      <w:r w:rsidRPr="00A10100">
        <w:fldChar w:fldCharType="begin"/>
      </w:r>
      <w:r w:rsidRPr="00A10100">
        <w:instrText xml:space="preserve"> ADDIN ZOTERO_BIBL {"uncited":[],"omitted":[],"custom":[]} CSL_BIBLIOGRAPHY </w:instrText>
      </w:r>
      <w:r w:rsidRPr="00A10100">
        <w:fldChar w:fldCharType="separate"/>
      </w:r>
      <w:r w:rsidRPr="00A10100">
        <w:t>[1]</w:t>
      </w:r>
      <w:r w:rsidRPr="00A10100">
        <w:tab/>
        <w:t xml:space="preserve">Y. Xu, </w:t>
      </w:r>
      <w:r>
        <w:t>… &amp;</w:t>
      </w:r>
      <w:r w:rsidRPr="00A10100">
        <w:t xml:space="preserve"> Q. Wang, Neurotransmitter receptors and cognitive dysfunction in Alzheimer’s disease and Parkinson’s disease, Prog. </w:t>
      </w:r>
      <w:proofErr w:type="spellStart"/>
      <w:r w:rsidRPr="00A10100">
        <w:t>Neurobiol</w:t>
      </w:r>
      <w:proofErr w:type="spellEnd"/>
      <w:r w:rsidRPr="00A10100">
        <w:t>. (2012). https://doi.org/10.1016/j.pneurobio.2012.02.002.</w:t>
      </w:r>
    </w:p>
    <w:p w14:paraId="2BBE71A9" w14:textId="241622F4" w:rsidR="00A10100" w:rsidRPr="00A10100" w:rsidRDefault="00A10100" w:rsidP="00A10100">
      <w:pPr>
        <w:ind w:left="709"/>
        <w:jc w:val="both"/>
      </w:pPr>
      <w:r w:rsidRPr="00A10100">
        <w:t>[2]</w:t>
      </w:r>
      <w:r w:rsidRPr="00A10100">
        <w:tab/>
        <w:t xml:space="preserve">N. Delmo, </w:t>
      </w:r>
      <w:r>
        <w:t>… &amp;</w:t>
      </w:r>
      <w:r w:rsidRPr="00A10100">
        <w:t xml:space="preserve"> E. Peltola, Developing an electrochemical sensor for the </w:t>
      </w:r>
      <w:r w:rsidRPr="00A10100">
        <w:rPr>
          <w:i/>
          <w:iCs/>
        </w:rPr>
        <w:t>in vivo</w:t>
      </w:r>
      <w:r w:rsidRPr="00A10100">
        <w:t xml:space="preserve"> measurements of dopamine, Sens. Diagn.  (2023). https://doi.org/10.1039/D2SD00230B.</w:t>
      </w:r>
    </w:p>
    <w:p w14:paraId="441B2E3F" w14:textId="603EF2CA" w:rsidR="00A10100" w:rsidRPr="00A10100" w:rsidRDefault="00A10100" w:rsidP="00A10100">
      <w:pPr>
        <w:ind w:left="709"/>
        <w:jc w:val="both"/>
      </w:pPr>
      <w:r w:rsidRPr="00A10100">
        <w:t>[3]</w:t>
      </w:r>
      <w:r w:rsidRPr="00A10100">
        <w:tab/>
        <w:t xml:space="preserve">J.-Y. Seo, </w:t>
      </w:r>
      <w:r>
        <w:t>…</w:t>
      </w:r>
      <w:r w:rsidR="00D80C79">
        <w:t xml:space="preserve"> &amp;</w:t>
      </w:r>
      <w:r w:rsidRPr="00A10100">
        <w:t xml:space="preserve"> E. Peltola, Single-chirality single-wall carbon nanotubes for electrochemical biosensing, Phys. Chem. Chem. Phys.</w:t>
      </w:r>
      <w:r w:rsidR="00D80C79">
        <w:t xml:space="preserve"> </w:t>
      </w:r>
      <w:r w:rsidRPr="00A10100">
        <w:t>(2025). https://doi.org/10.1039/D4CP04206A.</w:t>
      </w:r>
    </w:p>
    <w:p w14:paraId="61C9F629" w14:textId="1A366B1A" w:rsidR="00A10100" w:rsidRPr="00A10100" w:rsidRDefault="00A10100" w:rsidP="00A10100">
      <w:pPr>
        <w:ind w:left="709"/>
        <w:jc w:val="both"/>
      </w:pPr>
      <w:r w:rsidRPr="00A10100">
        <w:t>[4]</w:t>
      </w:r>
      <w:r w:rsidRPr="00A10100">
        <w:tab/>
        <w:t xml:space="preserve">R. </w:t>
      </w:r>
      <w:proofErr w:type="spellStart"/>
      <w:r w:rsidRPr="00A10100">
        <w:t>Kour</w:t>
      </w:r>
      <w:proofErr w:type="spellEnd"/>
      <w:r w:rsidRPr="00A10100">
        <w:t xml:space="preserve">, </w:t>
      </w:r>
      <w:r w:rsidR="00D80C79">
        <w:t>… &amp;</w:t>
      </w:r>
      <w:r w:rsidRPr="00A10100">
        <w:t xml:space="preserve"> A. Khosla, Review—Recent Advances in Carbon Nanomaterials as Electrochemical Biosensors, J. </w:t>
      </w:r>
      <w:proofErr w:type="spellStart"/>
      <w:r w:rsidRPr="00A10100">
        <w:t>Electrochem</w:t>
      </w:r>
      <w:proofErr w:type="spellEnd"/>
      <w:r w:rsidRPr="00A10100">
        <w:t>. Soc. (2020</w:t>
      </w:r>
      <w:r w:rsidR="00D80C79">
        <w:t>).</w:t>
      </w:r>
      <w:r w:rsidRPr="00A10100">
        <w:t xml:space="preserve"> https://doi.org/10.1149/1945-7111/ab6bc4.</w:t>
      </w:r>
    </w:p>
    <w:p w14:paraId="1BF5637B" w14:textId="1DDF49FC" w:rsidR="00A10100" w:rsidRPr="00A10100" w:rsidRDefault="00A10100" w:rsidP="00A10100">
      <w:pPr>
        <w:ind w:left="709"/>
        <w:jc w:val="both"/>
      </w:pPr>
      <w:r w:rsidRPr="00A10100">
        <w:t>[5]</w:t>
      </w:r>
      <w:r w:rsidRPr="00A10100">
        <w:tab/>
        <w:t>D.C. Ferrier,</w:t>
      </w:r>
      <w:r w:rsidR="00D80C79">
        <w:t xml:space="preserve"> &amp; </w:t>
      </w:r>
      <w:r w:rsidRPr="00A10100">
        <w:t xml:space="preserve">K.C. </w:t>
      </w:r>
      <w:proofErr w:type="spellStart"/>
      <w:r w:rsidRPr="00A10100">
        <w:t>Honeychurch</w:t>
      </w:r>
      <w:proofErr w:type="spellEnd"/>
      <w:r w:rsidRPr="00A10100">
        <w:t>, Carbon Nanotube (CNT)-Based Biosensors, Biosensors (2021). https://doi.org/10.3390/bios11120486.</w:t>
      </w:r>
    </w:p>
    <w:p w14:paraId="0E27B00A" w14:textId="0224F74D" w:rsidR="00E0716D" w:rsidRPr="00520AE7" w:rsidRDefault="00A10100" w:rsidP="00492F82">
      <w:pPr>
        <w:jc w:val="both"/>
      </w:pPr>
      <w:r w:rsidRPr="00A10100">
        <w:fldChar w:fldCharType="end"/>
      </w:r>
    </w:p>
    <w:sectPr w:rsidR="00E0716D" w:rsidRPr="00520AE7"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32F0D"/>
    <w:rsid w:val="0003405B"/>
    <w:rsid w:val="00041EFD"/>
    <w:rsid w:val="00084E03"/>
    <w:rsid w:val="000D2916"/>
    <w:rsid w:val="000F28B6"/>
    <w:rsid w:val="00132E1D"/>
    <w:rsid w:val="00176B79"/>
    <w:rsid w:val="00180057"/>
    <w:rsid w:val="001D25C5"/>
    <w:rsid w:val="001E3BF6"/>
    <w:rsid w:val="00217F93"/>
    <w:rsid w:val="00280F33"/>
    <w:rsid w:val="00281683"/>
    <w:rsid w:val="002C4135"/>
    <w:rsid w:val="002D60A7"/>
    <w:rsid w:val="0032200E"/>
    <w:rsid w:val="00325004"/>
    <w:rsid w:val="00365A98"/>
    <w:rsid w:val="003B2F36"/>
    <w:rsid w:val="003F13C9"/>
    <w:rsid w:val="003F2AFA"/>
    <w:rsid w:val="00413A84"/>
    <w:rsid w:val="00422009"/>
    <w:rsid w:val="00492F82"/>
    <w:rsid w:val="004A1467"/>
    <w:rsid w:val="004A2C8F"/>
    <w:rsid w:val="00505ED7"/>
    <w:rsid w:val="00520AE7"/>
    <w:rsid w:val="00536366"/>
    <w:rsid w:val="005979A4"/>
    <w:rsid w:val="005F2F28"/>
    <w:rsid w:val="00685C1A"/>
    <w:rsid w:val="006C21B4"/>
    <w:rsid w:val="006C6537"/>
    <w:rsid w:val="00705DDF"/>
    <w:rsid w:val="00712935"/>
    <w:rsid w:val="007D3546"/>
    <w:rsid w:val="0081069C"/>
    <w:rsid w:val="008713A7"/>
    <w:rsid w:val="008774C9"/>
    <w:rsid w:val="008B394D"/>
    <w:rsid w:val="008D07B6"/>
    <w:rsid w:val="008D73D5"/>
    <w:rsid w:val="0092030C"/>
    <w:rsid w:val="009441EA"/>
    <w:rsid w:val="00964F6A"/>
    <w:rsid w:val="009C375B"/>
    <w:rsid w:val="00A10100"/>
    <w:rsid w:val="00A26E44"/>
    <w:rsid w:val="00A8452E"/>
    <w:rsid w:val="00AE05A4"/>
    <w:rsid w:val="00AE41BF"/>
    <w:rsid w:val="00AF158F"/>
    <w:rsid w:val="00B32546"/>
    <w:rsid w:val="00B8524A"/>
    <w:rsid w:val="00B86DA7"/>
    <w:rsid w:val="00BA12EF"/>
    <w:rsid w:val="00BC54E0"/>
    <w:rsid w:val="00BE649B"/>
    <w:rsid w:val="00C021EB"/>
    <w:rsid w:val="00C2063A"/>
    <w:rsid w:val="00C47066"/>
    <w:rsid w:val="00C74CCE"/>
    <w:rsid w:val="00C77F7E"/>
    <w:rsid w:val="00CC3835"/>
    <w:rsid w:val="00D45D65"/>
    <w:rsid w:val="00D56E7D"/>
    <w:rsid w:val="00D66D49"/>
    <w:rsid w:val="00D80C79"/>
    <w:rsid w:val="00D95643"/>
    <w:rsid w:val="00D97B67"/>
    <w:rsid w:val="00DBB6F1"/>
    <w:rsid w:val="00E0716D"/>
    <w:rsid w:val="00E16512"/>
    <w:rsid w:val="00E57F7F"/>
    <w:rsid w:val="00E67F4E"/>
    <w:rsid w:val="00EA2134"/>
    <w:rsid w:val="00ED1EA6"/>
    <w:rsid w:val="00ED4377"/>
    <w:rsid w:val="00EE22D9"/>
    <w:rsid w:val="00F03958"/>
    <w:rsid w:val="00F50280"/>
    <w:rsid w:val="00F650C1"/>
    <w:rsid w:val="00F9211A"/>
    <w:rsid w:val="00F97641"/>
    <w:rsid w:val="00FC3E5D"/>
    <w:rsid w:val="071C1805"/>
    <w:rsid w:val="08D1B90C"/>
    <w:rsid w:val="10DD0929"/>
    <w:rsid w:val="17D4F6EB"/>
    <w:rsid w:val="2498749F"/>
    <w:rsid w:val="24BEF7B4"/>
    <w:rsid w:val="26FE204A"/>
    <w:rsid w:val="3613508C"/>
    <w:rsid w:val="3A8F841F"/>
    <w:rsid w:val="3CA5EEE8"/>
    <w:rsid w:val="3E7957FD"/>
    <w:rsid w:val="3FB0463B"/>
    <w:rsid w:val="46D140B9"/>
    <w:rsid w:val="5B53516C"/>
    <w:rsid w:val="5BEECA7E"/>
    <w:rsid w:val="5E6CD1F4"/>
    <w:rsid w:val="67540E69"/>
    <w:rsid w:val="6AC696D8"/>
    <w:rsid w:val="6E2E0ECC"/>
    <w:rsid w:val="71B992B1"/>
    <w:rsid w:val="73D88643"/>
    <w:rsid w:val="78701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F70F70"/>
  <w14:defaultImageDpi w14:val="300"/>
  <w15:docId w15:val="{6814EA6B-170B-46A0-857E-7906380AB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D4377"/>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A24E9B0DBC346939706C5EBC6C101" ma:contentTypeVersion="3" ma:contentTypeDescription="Create a new document." ma:contentTypeScope="" ma:versionID="9e65d402d68a1d788ef112111cc0e3c4">
  <xsd:schema xmlns:xsd="http://www.w3.org/2001/XMLSchema" xmlns:xs="http://www.w3.org/2001/XMLSchema" xmlns:p="http://schemas.microsoft.com/office/2006/metadata/properties" xmlns:ns2="77c6af31-0f70-4049-a8f3-3a6a49efc0c5" targetNamespace="http://schemas.microsoft.com/office/2006/metadata/properties" ma:root="true" ma:fieldsID="f5bc5fc0018a7ed8f51080f8312d9b07" ns2:_="">
    <xsd:import namespace="77c6af31-0f70-4049-a8f3-3a6a49efc0c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af31-0f70-4049-a8f3-3a6a49efc0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035EFC-A42A-453C-B0C8-3BB16086D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af31-0f70-4049-a8f3-3a6a49efc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42FB84-C427-4D74-A6DB-525CF757A8A2}">
  <ds:schemaRefs>
    <ds:schemaRef ds:uri="http://schemas.microsoft.com/sharepoint/v3/contenttype/forms"/>
  </ds:schemaRefs>
</ds:datastoreItem>
</file>

<file path=customXml/itemProps3.xml><?xml version="1.0" encoding="utf-8"?>
<ds:datastoreItem xmlns:ds="http://schemas.openxmlformats.org/officeDocument/2006/customXml" ds:itemID="{16E89251-2620-42B2-A83B-E212CC2FECD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7c6af31-0f70-4049-a8f3-3a6a49efc0c5"/>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2406</Words>
  <Characters>13717</Characters>
  <Application>Microsoft Office Word</Application>
  <DocSecurity>0</DocSecurity>
  <Lines>114</Lines>
  <Paragraphs>32</Paragraphs>
  <ScaleCrop>false</ScaleCrop>
  <Company>Electrochemical Society</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Salli Valkama</cp:lastModifiedBy>
  <cp:revision>2</cp:revision>
  <cp:lastPrinted>2013-10-21T12:07:00Z</cp:lastPrinted>
  <dcterms:created xsi:type="dcterms:W3CDTF">2026-05-29T09:30:00Z</dcterms:created>
  <dcterms:modified xsi:type="dcterms:W3CDTF">2026-05-29T09:30:00Z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id="jsiiu4Yg"/&gt;&lt;style id="http://www.zotero.org/styles/elsevier-with-titles"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y fmtid="{D5CDD505-2E9C-101B-9397-08002B2CF9AE}" pid="4" name="ContentTypeId">
    <vt:lpwstr>0x010100313A24E9B0DBC346939706C5EBC6C101</vt:lpwstr>
  </property>
</Properties>
</file>